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52351" w14:textId="77777777" w:rsidR="00313154" w:rsidRPr="005E03B6" w:rsidRDefault="005E03B6">
      <w:pPr>
        <w:pStyle w:val="Title"/>
        <w:rPr>
          <w:rFonts w:asciiTheme="minorHAnsi" w:hAnsiTheme="minorHAnsi" w:cstheme="minorHAnsi"/>
          <w:sz w:val="22"/>
          <w:szCs w:val="22"/>
        </w:rPr>
      </w:pPr>
      <w:bookmarkStart w:id="0" w:name="Policy_on_Secure_Storage_and_Retention"/>
      <w:bookmarkEnd w:id="0"/>
      <w:r w:rsidRPr="005E03B6">
        <w:rPr>
          <w:rFonts w:asciiTheme="minorHAnsi" w:hAnsiTheme="minorHAnsi" w:cstheme="minorHAnsi"/>
          <w:sz w:val="22"/>
          <w:szCs w:val="22"/>
        </w:rPr>
        <w:t>Policy on Secure Storage and Retention</w:t>
      </w:r>
    </w:p>
    <w:p w14:paraId="5398AD5F" w14:textId="77777777" w:rsidR="00313154" w:rsidRPr="005E03B6" w:rsidRDefault="005E03B6">
      <w:pPr>
        <w:pStyle w:val="Heading1"/>
        <w:numPr>
          <w:ilvl w:val="0"/>
          <w:numId w:val="1"/>
        </w:numPr>
        <w:tabs>
          <w:tab w:val="left" w:pos="440"/>
        </w:tabs>
        <w:spacing w:before="120"/>
        <w:ind w:hanging="325"/>
        <w:rPr>
          <w:rFonts w:asciiTheme="minorHAnsi" w:hAnsiTheme="minorHAnsi" w:cstheme="minorHAnsi"/>
          <w:sz w:val="22"/>
          <w:szCs w:val="22"/>
        </w:rPr>
      </w:pPr>
      <w:r w:rsidRPr="005E03B6">
        <w:rPr>
          <w:rFonts w:asciiTheme="minorHAnsi" w:hAnsiTheme="minorHAnsi" w:cstheme="minorHAnsi"/>
          <w:sz w:val="22"/>
          <w:szCs w:val="22"/>
        </w:rPr>
        <w:t>General Principles for CSAS as a Registered</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Body</w:t>
      </w:r>
    </w:p>
    <w:p w14:paraId="233FF246" w14:textId="77777777" w:rsidR="00313154" w:rsidRPr="005E03B6" w:rsidRDefault="005E03B6">
      <w:pPr>
        <w:pStyle w:val="BodyText"/>
        <w:spacing w:before="121"/>
        <w:ind w:left="115" w:right="116"/>
        <w:rPr>
          <w:rFonts w:asciiTheme="minorHAnsi" w:hAnsiTheme="minorHAnsi" w:cstheme="minorHAnsi"/>
          <w:sz w:val="22"/>
          <w:szCs w:val="22"/>
        </w:rPr>
      </w:pPr>
      <w:r w:rsidRPr="005E03B6">
        <w:rPr>
          <w:rFonts w:asciiTheme="minorHAnsi" w:hAnsiTheme="minorHAnsi" w:cstheme="minorHAnsi"/>
          <w:sz w:val="22"/>
          <w:szCs w:val="22"/>
        </w:rPr>
        <w:t xml:space="preserve">As an </w:t>
      </w:r>
      <w:proofErr w:type="spellStart"/>
      <w:r w:rsidRPr="005E03B6">
        <w:rPr>
          <w:rFonts w:asciiTheme="minorHAnsi" w:hAnsiTheme="minorHAnsi" w:cstheme="minorHAnsi"/>
          <w:sz w:val="22"/>
          <w:szCs w:val="22"/>
        </w:rPr>
        <w:t>organisation</w:t>
      </w:r>
      <w:proofErr w:type="spellEnd"/>
      <w:r w:rsidRPr="005E03B6">
        <w:rPr>
          <w:rFonts w:asciiTheme="minorHAnsi" w:hAnsiTheme="minorHAnsi" w:cstheme="minorHAnsi"/>
          <w:sz w:val="22"/>
          <w:szCs w:val="22"/>
        </w:rPr>
        <w:t xml:space="preserve"> using the Disclosure and Barring Service Disclosure service to help assess the suitability of applicants</w:t>
      </w:r>
      <w:r w:rsidRPr="005E03B6">
        <w:rPr>
          <w:rFonts w:asciiTheme="minorHAnsi" w:hAnsiTheme="minorHAnsi" w:cstheme="minorHAnsi"/>
          <w:spacing w:val="-2"/>
          <w:sz w:val="22"/>
          <w:szCs w:val="22"/>
        </w:rPr>
        <w:t xml:space="preserve"> </w:t>
      </w:r>
      <w:r w:rsidRPr="005E03B6">
        <w:rPr>
          <w:rFonts w:asciiTheme="minorHAnsi" w:hAnsiTheme="minorHAnsi" w:cstheme="minorHAnsi"/>
          <w:sz w:val="22"/>
          <w:szCs w:val="22"/>
        </w:rPr>
        <w:t>for</w:t>
      </w:r>
      <w:r w:rsidRPr="005E03B6">
        <w:rPr>
          <w:rFonts w:asciiTheme="minorHAnsi" w:hAnsiTheme="minorHAnsi" w:cstheme="minorHAnsi"/>
          <w:spacing w:val="-3"/>
          <w:sz w:val="22"/>
          <w:szCs w:val="22"/>
        </w:rPr>
        <w:t xml:space="preserve"> </w:t>
      </w:r>
      <w:r w:rsidRPr="005E03B6">
        <w:rPr>
          <w:rFonts w:asciiTheme="minorHAnsi" w:hAnsiTheme="minorHAnsi" w:cstheme="minorHAnsi"/>
          <w:sz w:val="22"/>
          <w:szCs w:val="22"/>
        </w:rPr>
        <w:t>positions</w:t>
      </w:r>
      <w:r w:rsidRPr="005E03B6">
        <w:rPr>
          <w:rFonts w:asciiTheme="minorHAnsi" w:hAnsiTheme="minorHAnsi" w:cstheme="minorHAnsi"/>
          <w:spacing w:val="-3"/>
          <w:sz w:val="22"/>
          <w:szCs w:val="22"/>
        </w:rPr>
        <w:t xml:space="preserve"> </w:t>
      </w:r>
      <w:r w:rsidRPr="005E03B6">
        <w:rPr>
          <w:rFonts w:asciiTheme="minorHAnsi" w:hAnsiTheme="minorHAnsi" w:cstheme="minorHAnsi"/>
          <w:sz w:val="22"/>
          <w:szCs w:val="22"/>
        </w:rPr>
        <w:t>of</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trust,</w:t>
      </w:r>
      <w:r w:rsidRPr="005E03B6">
        <w:rPr>
          <w:rFonts w:asciiTheme="minorHAnsi" w:hAnsiTheme="minorHAnsi" w:cstheme="minorHAnsi"/>
          <w:spacing w:val="-5"/>
          <w:sz w:val="22"/>
          <w:szCs w:val="22"/>
        </w:rPr>
        <w:t xml:space="preserve"> </w:t>
      </w:r>
      <w:r w:rsidRPr="005E03B6">
        <w:rPr>
          <w:rFonts w:asciiTheme="minorHAnsi" w:hAnsiTheme="minorHAnsi" w:cstheme="minorHAnsi"/>
          <w:sz w:val="22"/>
          <w:szCs w:val="22"/>
        </w:rPr>
        <w:t>CSAS</w:t>
      </w:r>
      <w:r w:rsidRPr="005E03B6">
        <w:rPr>
          <w:rFonts w:asciiTheme="minorHAnsi" w:hAnsiTheme="minorHAnsi" w:cstheme="minorHAnsi"/>
          <w:spacing w:val="-3"/>
          <w:sz w:val="22"/>
          <w:szCs w:val="22"/>
        </w:rPr>
        <w:t xml:space="preserve"> </w:t>
      </w:r>
      <w:r w:rsidRPr="005E03B6">
        <w:rPr>
          <w:rFonts w:asciiTheme="minorHAnsi" w:hAnsiTheme="minorHAnsi" w:cstheme="minorHAnsi"/>
          <w:sz w:val="22"/>
          <w:szCs w:val="22"/>
        </w:rPr>
        <w:t>fully</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complies</w:t>
      </w:r>
      <w:r w:rsidRPr="005E03B6">
        <w:rPr>
          <w:rFonts w:asciiTheme="minorHAnsi" w:hAnsiTheme="minorHAnsi" w:cstheme="minorHAnsi"/>
          <w:spacing w:val="-3"/>
          <w:sz w:val="22"/>
          <w:szCs w:val="22"/>
        </w:rPr>
        <w:t xml:space="preserve"> </w:t>
      </w:r>
      <w:r w:rsidRPr="005E03B6">
        <w:rPr>
          <w:rFonts w:asciiTheme="minorHAnsi" w:hAnsiTheme="minorHAnsi" w:cstheme="minorHAnsi"/>
          <w:sz w:val="22"/>
          <w:szCs w:val="22"/>
        </w:rPr>
        <w:t>with</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the</w:t>
      </w:r>
      <w:r w:rsidRPr="005E03B6">
        <w:rPr>
          <w:rFonts w:asciiTheme="minorHAnsi" w:hAnsiTheme="minorHAnsi" w:cstheme="minorHAnsi"/>
          <w:spacing w:val="-3"/>
          <w:sz w:val="22"/>
          <w:szCs w:val="22"/>
        </w:rPr>
        <w:t xml:space="preserve"> </w:t>
      </w:r>
      <w:r w:rsidRPr="005E03B6">
        <w:rPr>
          <w:rFonts w:asciiTheme="minorHAnsi" w:hAnsiTheme="minorHAnsi" w:cstheme="minorHAnsi"/>
          <w:sz w:val="22"/>
          <w:szCs w:val="22"/>
        </w:rPr>
        <w:t>DBS</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Code</w:t>
      </w:r>
      <w:r w:rsidRPr="005E03B6">
        <w:rPr>
          <w:rFonts w:asciiTheme="minorHAnsi" w:hAnsiTheme="minorHAnsi" w:cstheme="minorHAnsi"/>
          <w:spacing w:val="-3"/>
          <w:sz w:val="22"/>
          <w:szCs w:val="22"/>
        </w:rPr>
        <w:t xml:space="preserve"> </w:t>
      </w:r>
      <w:r w:rsidRPr="005E03B6">
        <w:rPr>
          <w:rFonts w:asciiTheme="minorHAnsi" w:hAnsiTheme="minorHAnsi" w:cstheme="minorHAnsi"/>
          <w:sz w:val="22"/>
          <w:szCs w:val="22"/>
        </w:rPr>
        <w:t>of</w:t>
      </w:r>
      <w:r w:rsidRPr="005E03B6">
        <w:rPr>
          <w:rFonts w:asciiTheme="minorHAnsi" w:hAnsiTheme="minorHAnsi" w:cstheme="minorHAnsi"/>
          <w:spacing w:val="-5"/>
          <w:sz w:val="22"/>
          <w:szCs w:val="22"/>
        </w:rPr>
        <w:t xml:space="preserve"> </w:t>
      </w:r>
      <w:r w:rsidRPr="005E03B6">
        <w:rPr>
          <w:rFonts w:asciiTheme="minorHAnsi" w:hAnsiTheme="minorHAnsi" w:cstheme="minorHAnsi"/>
          <w:sz w:val="22"/>
          <w:szCs w:val="22"/>
        </w:rPr>
        <w:t>Practice</w:t>
      </w:r>
      <w:r w:rsidRPr="005E03B6">
        <w:rPr>
          <w:rFonts w:asciiTheme="minorHAnsi" w:hAnsiTheme="minorHAnsi" w:cstheme="minorHAnsi"/>
          <w:spacing w:val="-3"/>
          <w:sz w:val="22"/>
          <w:szCs w:val="22"/>
        </w:rPr>
        <w:t xml:space="preserve"> </w:t>
      </w:r>
      <w:r w:rsidRPr="005E03B6">
        <w:rPr>
          <w:rFonts w:asciiTheme="minorHAnsi" w:hAnsiTheme="minorHAnsi" w:cstheme="minorHAnsi"/>
          <w:sz w:val="22"/>
          <w:szCs w:val="22"/>
        </w:rPr>
        <w:t>regarding</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the</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correct</w:t>
      </w:r>
      <w:r w:rsidRPr="005E03B6">
        <w:rPr>
          <w:rFonts w:asciiTheme="minorHAnsi" w:hAnsiTheme="minorHAnsi" w:cstheme="minorHAnsi"/>
          <w:spacing w:val="-3"/>
          <w:sz w:val="22"/>
          <w:szCs w:val="22"/>
        </w:rPr>
        <w:t xml:space="preserve"> </w:t>
      </w:r>
      <w:r w:rsidRPr="005E03B6">
        <w:rPr>
          <w:rFonts w:asciiTheme="minorHAnsi" w:hAnsiTheme="minorHAnsi" w:cstheme="minorHAnsi"/>
          <w:sz w:val="22"/>
          <w:szCs w:val="22"/>
        </w:rPr>
        <w:t>handling,</w:t>
      </w:r>
      <w:r w:rsidRPr="005E03B6">
        <w:rPr>
          <w:rFonts w:asciiTheme="minorHAnsi" w:hAnsiTheme="minorHAnsi" w:cstheme="minorHAnsi"/>
          <w:spacing w:val="-3"/>
          <w:sz w:val="22"/>
          <w:szCs w:val="22"/>
        </w:rPr>
        <w:t xml:space="preserve"> </w:t>
      </w:r>
      <w:r w:rsidRPr="005E03B6">
        <w:rPr>
          <w:rFonts w:asciiTheme="minorHAnsi" w:hAnsiTheme="minorHAnsi" w:cstheme="minorHAnsi"/>
          <w:sz w:val="22"/>
          <w:szCs w:val="22"/>
        </w:rPr>
        <w:t>use, storage, retention an</w:t>
      </w:r>
      <w:r w:rsidRPr="005E03B6">
        <w:rPr>
          <w:rFonts w:asciiTheme="minorHAnsi" w:hAnsiTheme="minorHAnsi" w:cstheme="minorHAnsi"/>
          <w:sz w:val="22"/>
          <w:szCs w:val="22"/>
        </w:rPr>
        <w:t>d disposal of Disclosures and Disclosure information. It also complies fully with its obligations under the Data Protection Act and other relevant legislation pertaining to the safe handling, use, storage, retention and disposal of Disclosure information a</w:t>
      </w:r>
      <w:r w:rsidRPr="005E03B6">
        <w:rPr>
          <w:rFonts w:asciiTheme="minorHAnsi" w:hAnsiTheme="minorHAnsi" w:cstheme="minorHAnsi"/>
          <w:sz w:val="22"/>
          <w:szCs w:val="22"/>
        </w:rPr>
        <w:t>nd this written policy is available to those who wish to see it on</w:t>
      </w:r>
      <w:r w:rsidRPr="005E03B6">
        <w:rPr>
          <w:rFonts w:asciiTheme="minorHAnsi" w:hAnsiTheme="minorHAnsi" w:cstheme="minorHAnsi"/>
          <w:spacing w:val="-38"/>
          <w:sz w:val="22"/>
          <w:szCs w:val="22"/>
        </w:rPr>
        <w:t xml:space="preserve"> </w:t>
      </w:r>
      <w:r w:rsidRPr="005E03B6">
        <w:rPr>
          <w:rFonts w:asciiTheme="minorHAnsi" w:hAnsiTheme="minorHAnsi" w:cstheme="minorHAnsi"/>
          <w:sz w:val="22"/>
          <w:szCs w:val="22"/>
        </w:rPr>
        <w:t>request.</w:t>
      </w:r>
    </w:p>
    <w:p w14:paraId="673E3C52" w14:textId="77777777" w:rsidR="00313154" w:rsidRPr="005E03B6" w:rsidRDefault="005E03B6">
      <w:pPr>
        <w:pStyle w:val="BodyText"/>
        <w:spacing w:before="122"/>
        <w:ind w:left="115"/>
        <w:rPr>
          <w:rFonts w:asciiTheme="minorHAnsi" w:hAnsiTheme="minorHAnsi" w:cstheme="minorHAnsi"/>
          <w:sz w:val="22"/>
          <w:szCs w:val="22"/>
        </w:rPr>
      </w:pPr>
      <w:r w:rsidRPr="005E03B6">
        <w:rPr>
          <w:rFonts w:asciiTheme="minorHAnsi" w:hAnsiTheme="minorHAnsi" w:cstheme="minorHAnsi"/>
          <w:sz w:val="22"/>
          <w:szCs w:val="22"/>
        </w:rPr>
        <w:t>For these purposes, "CSAS" includes its agents within the Safeguarding structure of the Catholic Church of England &amp; Wales who act as Counter-Signatories in processing Disclosure A</w:t>
      </w:r>
      <w:r w:rsidRPr="005E03B6">
        <w:rPr>
          <w:rFonts w:asciiTheme="minorHAnsi" w:hAnsiTheme="minorHAnsi" w:cstheme="minorHAnsi"/>
          <w:sz w:val="22"/>
          <w:szCs w:val="22"/>
        </w:rPr>
        <w:t xml:space="preserve">pplications. They hold information </w:t>
      </w:r>
      <w:proofErr w:type="gramStart"/>
      <w:r w:rsidRPr="005E03B6">
        <w:rPr>
          <w:rFonts w:asciiTheme="minorHAnsi" w:hAnsiTheme="minorHAnsi" w:cstheme="minorHAnsi"/>
          <w:sz w:val="22"/>
          <w:szCs w:val="22"/>
        </w:rPr>
        <w:t>locally;</w:t>
      </w:r>
      <w:proofErr w:type="gramEnd"/>
    </w:p>
    <w:p w14:paraId="599D0E46" w14:textId="77777777" w:rsidR="00313154" w:rsidRPr="005E03B6" w:rsidRDefault="00313154">
      <w:pPr>
        <w:pStyle w:val="BodyText"/>
        <w:rPr>
          <w:rFonts w:asciiTheme="minorHAnsi" w:hAnsiTheme="minorHAnsi" w:cstheme="minorHAnsi"/>
          <w:sz w:val="22"/>
          <w:szCs w:val="22"/>
        </w:rPr>
      </w:pPr>
    </w:p>
    <w:p w14:paraId="79397043" w14:textId="77777777" w:rsidR="00313154" w:rsidRPr="005E03B6" w:rsidRDefault="00313154">
      <w:pPr>
        <w:pStyle w:val="BodyText"/>
        <w:spacing w:before="11"/>
        <w:rPr>
          <w:rFonts w:asciiTheme="minorHAnsi" w:hAnsiTheme="minorHAnsi" w:cstheme="minorHAnsi"/>
          <w:sz w:val="22"/>
          <w:szCs w:val="22"/>
        </w:rPr>
      </w:pPr>
    </w:p>
    <w:p w14:paraId="2B94BC91" w14:textId="77777777" w:rsidR="00313154" w:rsidRPr="005E03B6" w:rsidRDefault="005E03B6">
      <w:pPr>
        <w:pStyle w:val="Heading1"/>
        <w:numPr>
          <w:ilvl w:val="0"/>
          <w:numId w:val="1"/>
        </w:numPr>
        <w:tabs>
          <w:tab w:val="left" w:pos="440"/>
        </w:tabs>
        <w:ind w:hanging="325"/>
        <w:rPr>
          <w:rFonts w:asciiTheme="minorHAnsi" w:hAnsiTheme="minorHAnsi" w:cstheme="minorHAnsi"/>
          <w:sz w:val="22"/>
          <w:szCs w:val="22"/>
        </w:rPr>
      </w:pPr>
      <w:r w:rsidRPr="005E03B6">
        <w:rPr>
          <w:rFonts w:asciiTheme="minorHAnsi" w:hAnsiTheme="minorHAnsi" w:cstheme="minorHAnsi"/>
          <w:sz w:val="22"/>
          <w:szCs w:val="22"/>
        </w:rPr>
        <w:t>Storage and</w:t>
      </w:r>
      <w:r w:rsidRPr="005E03B6">
        <w:rPr>
          <w:rFonts w:asciiTheme="minorHAnsi" w:hAnsiTheme="minorHAnsi" w:cstheme="minorHAnsi"/>
          <w:spacing w:val="-2"/>
          <w:sz w:val="22"/>
          <w:szCs w:val="22"/>
        </w:rPr>
        <w:t xml:space="preserve"> </w:t>
      </w:r>
      <w:r w:rsidRPr="005E03B6">
        <w:rPr>
          <w:rFonts w:asciiTheme="minorHAnsi" w:hAnsiTheme="minorHAnsi" w:cstheme="minorHAnsi"/>
          <w:sz w:val="22"/>
          <w:szCs w:val="22"/>
        </w:rPr>
        <w:t>Access</w:t>
      </w:r>
    </w:p>
    <w:p w14:paraId="0412D4D4" w14:textId="77777777" w:rsidR="00313154" w:rsidRPr="005E03B6" w:rsidRDefault="005E03B6">
      <w:pPr>
        <w:pStyle w:val="BodyText"/>
        <w:spacing w:before="121"/>
        <w:ind w:left="115" w:right="127"/>
        <w:rPr>
          <w:rFonts w:asciiTheme="minorHAnsi" w:hAnsiTheme="minorHAnsi" w:cstheme="minorHAnsi"/>
          <w:sz w:val="22"/>
          <w:szCs w:val="22"/>
        </w:rPr>
      </w:pPr>
      <w:r w:rsidRPr="005E03B6">
        <w:rPr>
          <w:rFonts w:asciiTheme="minorHAnsi" w:hAnsiTheme="minorHAnsi" w:cstheme="minorHAnsi"/>
          <w:sz w:val="22"/>
          <w:szCs w:val="22"/>
        </w:rPr>
        <w:t xml:space="preserve">Disclosure information is never kept on an applicant's personnel file and is always kept separately and </w:t>
      </w:r>
      <w:r w:rsidRPr="005E03B6">
        <w:rPr>
          <w:rFonts w:asciiTheme="minorHAnsi" w:hAnsiTheme="minorHAnsi" w:cstheme="minorHAnsi"/>
          <w:spacing w:val="-3"/>
          <w:sz w:val="22"/>
          <w:szCs w:val="22"/>
        </w:rPr>
        <w:t xml:space="preserve">securely, </w:t>
      </w:r>
      <w:r w:rsidRPr="005E03B6">
        <w:rPr>
          <w:rFonts w:asciiTheme="minorHAnsi" w:hAnsiTheme="minorHAnsi" w:cstheme="minorHAnsi"/>
          <w:sz w:val="22"/>
          <w:szCs w:val="22"/>
        </w:rPr>
        <w:t>in lockable,</w:t>
      </w:r>
      <w:r w:rsidRPr="005E03B6">
        <w:rPr>
          <w:rFonts w:asciiTheme="minorHAnsi" w:hAnsiTheme="minorHAnsi" w:cstheme="minorHAnsi"/>
          <w:spacing w:val="-3"/>
          <w:sz w:val="22"/>
          <w:szCs w:val="22"/>
        </w:rPr>
        <w:t xml:space="preserve"> </w:t>
      </w:r>
      <w:r w:rsidRPr="005E03B6">
        <w:rPr>
          <w:rFonts w:asciiTheme="minorHAnsi" w:hAnsiTheme="minorHAnsi" w:cstheme="minorHAnsi"/>
          <w:sz w:val="22"/>
          <w:szCs w:val="22"/>
        </w:rPr>
        <w:t>non-portable,</w:t>
      </w:r>
      <w:r w:rsidRPr="005E03B6">
        <w:rPr>
          <w:rFonts w:asciiTheme="minorHAnsi" w:hAnsiTheme="minorHAnsi" w:cstheme="minorHAnsi"/>
          <w:spacing w:val="-3"/>
          <w:sz w:val="22"/>
          <w:szCs w:val="22"/>
        </w:rPr>
        <w:t xml:space="preserve"> </w:t>
      </w:r>
      <w:r w:rsidRPr="005E03B6">
        <w:rPr>
          <w:rFonts w:asciiTheme="minorHAnsi" w:hAnsiTheme="minorHAnsi" w:cstheme="minorHAnsi"/>
          <w:sz w:val="22"/>
          <w:szCs w:val="22"/>
        </w:rPr>
        <w:t>storage</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containers</w:t>
      </w:r>
      <w:r w:rsidRPr="005E03B6">
        <w:rPr>
          <w:rFonts w:asciiTheme="minorHAnsi" w:hAnsiTheme="minorHAnsi" w:cstheme="minorHAnsi"/>
          <w:spacing w:val="-2"/>
          <w:sz w:val="22"/>
          <w:szCs w:val="22"/>
        </w:rPr>
        <w:t xml:space="preserve"> </w:t>
      </w:r>
      <w:r w:rsidRPr="005E03B6">
        <w:rPr>
          <w:rFonts w:asciiTheme="minorHAnsi" w:hAnsiTheme="minorHAnsi" w:cstheme="minorHAnsi"/>
          <w:sz w:val="22"/>
          <w:szCs w:val="22"/>
        </w:rPr>
        <w:t>with</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access</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strictly</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controlled</w:t>
      </w:r>
      <w:r w:rsidRPr="005E03B6">
        <w:rPr>
          <w:rFonts w:asciiTheme="minorHAnsi" w:hAnsiTheme="minorHAnsi" w:cstheme="minorHAnsi"/>
          <w:spacing w:val="-5"/>
          <w:sz w:val="22"/>
          <w:szCs w:val="22"/>
        </w:rPr>
        <w:t xml:space="preserve"> </w:t>
      </w:r>
      <w:r w:rsidRPr="005E03B6">
        <w:rPr>
          <w:rFonts w:asciiTheme="minorHAnsi" w:hAnsiTheme="minorHAnsi" w:cstheme="minorHAnsi"/>
          <w:sz w:val="22"/>
          <w:szCs w:val="22"/>
        </w:rPr>
        <w:t>and</w:t>
      </w:r>
      <w:r w:rsidRPr="005E03B6">
        <w:rPr>
          <w:rFonts w:asciiTheme="minorHAnsi" w:hAnsiTheme="minorHAnsi" w:cstheme="minorHAnsi"/>
          <w:spacing w:val="-5"/>
          <w:sz w:val="22"/>
          <w:szCs w:val="22"/>
        </w:rPr>
        <w:t xml:space="preserve"> </w:t>
      </w:r>
      <w:r w:rsidRPr="005E03B6">
        <w:rPr>
          <w:rFonts w:asciiTheme="minorHAnsi" w:hAnsiTheme="minorHAnsi" w:cstheme="minorHAnsi"/>
          <w:sz w:val="22"/>
          <w:szCs w:val="22"/>
        </w:rPr>
        <w:t>limited</w:t>
      </w:r>
      <w:r w:rsidRPr="005E03B6">
        <w:rPr>
          <w:rFonts w:asciiTheme="minorHAnsi" w:hAnsiTheme="minorHAnsi" w:cstheme="minorHAnsi"/>
          <w:spacing w:val="-5"/>
          <w:sz w:val="22"/>
          <w:szCs w:val="22"/>
        </w:rPr>
        <w:t xml:space="preserve"> </w:t>
      </w:r>
      <w:r w:rsidRPr="005E03B6">
        <w:rPr>
          <w:rFonts w:asciiTheme="minorHAnsi" w:hAnsiTheme="minorHAnsi" w:cstheme="minorHAnsi"/>
          <w:sz w:val="22"/>
          <w:szCs w:val="22"/>
        </w:rPr>
        <w:t>to</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those</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who</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are</w:t>
      </w:r>
      <w:r w:rsidRPr="005E03B6">
        <w:rPr>
          <w:rFonts w:asciiTheme="minorHAnsi" w:hAnsiTheme="minorHAnsi" w:cstheme="minorHAnsi"/>
          <w:spacing w:val="-3"/>
          <w:sz w:val="22"/>
          <w:szCs w:val="22"/>
        </w:rPr>
        <w:t xml:space="preserve"> </w:t>
      </w:r>
      <w:r w:rsidRPr="005E03B6">
        <w:rPr>
          <w:rFonts w:asciiTheme="minorHAnsi" w:hAnsiTheme="minorHAnsi" w:cstheme="minorHAnsi"/>
          <w:sz w:val="22"/>
          <w:szCs w:val="22"/>
        </w:rPr>
        <w:t>entitled</w:t>
      </w:r>
      <w:r w:rsidRPr="005E03B6">
        <w:rPr>
          <w:rFonts w:asciiTheme="minorHAnsi" w:hAnsiTheme="minorHAnsi" w:cstheme="minorHAnsi"/>
          <w:spacing w:val="-5"/>
          <w:sz w:val="22"/>
          <w:szCs w:val="22"/>
        </w:rPr>
        <w:t xml:space="preserve"> </w:t>
      </w:r>
      <w:r w:rsidRPr="005E03B6">
        <w:rPr>
          <w:rFonts w:asciiTheme="minorHAnsi" w:hAnsiTheme="minorHAnsi" w:cstheme="minorHAnsi"/>
          <w:sz w:val="22"/>
          <w:szCs w:val="22"/>
        </w:rPr>
        <w:t>to</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see</w:t>
      </w:r>
      <w:r w:rsidRPr="005E03B6">
        <w:rPr>
          <w:rFonts w:asciiTheme="minorHAnsi" w:hAnsiTheme="minorHAnsi" w:cstheme="minorHAnsi"/>
          <w:spacing w:val="-4"/>
          <w:sz w:val="22"/>
          <w:szCs w:val="22"/>
        </w:rPr>
        <w:t xml:space="preserve"> </w:t>
      </w:r>
      <w:r w:rsidRPr="005E03B6">
        <w:rPr>
          <w:rFonts w:asciiTheme="minorHAnsi" w:hAnsiTheme="minorHAnsi" w:cstheme="minorHAnsi"/>
          <w:sz w:val="22"/>
          <w:szCs w:val="22"/>
        </w:rPr>
        <w:t>it as part of their</w:t>
      </w:r>
      <w:r w:rsidRPr="005E03B6">
        <w:rPr>
          <w:rFonts w:asciiTheme="minorHAnsi" w:hAnsiTheme="minorHAnsi" w:cstheme="minorHAnsi"/>
          <w:spacing w:val="-1"/>
          <w:sz w:val="22"/>
          <w:szCs w:val="22"/>
        </w:rPr>
        <w:t xml:space="preserve"> </w:t>
      </w:r>
      <w:proofErr w:type="gramStart"/>
      <w:r w:rsidRPr="005E03B6">
        <w:rPr>
          <w:rFonts w:asciiTheme="minorHAnsi" w:hAnsiTheme="minorHAnsi" w:cstheme="minorHAnsi"/>
          <w:sz w:val="22"/>
          <w:szCs w:val="22"/>
        </w:rPr>
        <w:t>duties;</w:t>
      </w:r>
      <w:proofErr w:type="gramEnd"/>
    </w:p>
    <w:p w14:paraId="617B8DCC" w14:textId="77777777" w:rsidR="00313154" w:rsidRPr="005E03B6" w:rsidRDefault="00313154">
      <w:pPr>
        <w:pStyle w:val="BodyText"/>
        <w:rPr>
          <w:rFonts w:asciiTheme="minorHAnsi" w:hAnsiTheme="minorHAnsi" w:cstheme="minorHAnsi"/>
          <w:sz w:val="22"/>
          <w:szCs w:val="22"/>
        </w:rPr>
      </w:pPr>
    </w:p>
    <w:p w14:paraId="5BFBC192" w14:textId="77777777" w:rsidR="00313154" w:rsidRPr="005E03B6" w:rsidRDefault="00313154">
      <w:pPr>
        <w:pStyle w:val="BodyText"/>
        <w:spacing w:before="10"/>
        <w:rPr>
          <w:rFonts w:asciiTheme="minorHAnsi" w:hAnsiTheme="minorHAnsi" w:cstheme="minorHAnsi"/>
          <w:sz w:val="22"/>
          <w:szCs w:val="22"/>
        </w:rPr>
      </w:pPr>
    </w:p>
    <w:p w14:paraId="643DDE8B" w14:textId="77777777" w:rsidR="00313154" w:rsidRPr="005E03B6" w:rsidRDefault="005E03B6">
      <w:pPr>
        <w:pStyle w:val="Heading1"/>
        <w:numPr>
          <w:ilvl w:val="0"/>
          <w:numId w:val="1"/>
        </w:numPr>
        <w:tabs>
          <w:tab w:val="left" w:pos="440"/>
        </w:tabs>
        <w:ind w:hanging="325"/>
        <w:rPr>
          <w:rFonts w:asciiTheme="minorHAnsi" w:hAnsiTheme="minorHAnsi" w:cstheme="minorHAnsi"/>
          <w:sz w:val="22"/>
          <w:szCs w:val="22"/>
        </w:rPr>
      </w:pPr>
      <w:r w:rsidRPr="005E03B6">
        <w:rPr>
          <w:rFonts w:asciiTheme="minorHAnsi" w:hAnsiTheme="minorHAnsi" w:cstheme="minorHAnsi"/>
          <w:sz w:val="22"/>
          <w:szCs w:val="22"/>
        </w:rPr>
        <w:t>Handling</w:t>
      </w:r>
    </w:p>
    <w:p w14:paraId="348F78E7" w14:textId="77777777" w:rsidR="00313154" w:rsidRPr="005E03B6" w:rsidRDefault="005E03B6">
      <w:pPr>
        <w:pStyle w:val="BodyText"/>
        <w:spacing w:before="121"/>
        <w:ind w:left="115" w:right="127"/>
        <w:rPr>
          <w:rFonts w:asciiTheme="minorHAnsi" w:hAnsiTheme="minorHAnsi" w:cstheme="minorHAnsi"/>
          <w:sz w:val="22"/>
          <w:szCs w:val="22"/>
        </w:rPr>
      </w:pPr>
      <w:r w:rsidRPr="005E03B6">
        <w:rPr>
          <w:rFonts w:asciiTheme="minorHAnsi" w:hAnsiTheme="minorHAnsi" w:cstheme="minorHAnsi"/>
          <w:sz w:val="22"/>
          <w:szCs w:val="22"/>
        </w:rPr>
        <w:t xml:space="preserve">In accordance with Section 124 of the Police Act 1997, Disclosure information is only passed to those who are </w:t>
      </w:r>
      <w:proofErr w:type="spellStart"/>
      <w:r w:rsidRPr="005E03B6">
        <w:rPr>
          <w:rFonts w:asciiTheme="minorHAnsi" w:hAnsiTheme="minorHAnsi" w:cstheme="minorHAnsi"/>
          <w:sz w:val="22"/>
          <w:szCs w:val="22"/>
        </w:rPr>
        <w:t>authorised</w:t>
      </w:r>
      <w:proofErr w:type="spellEnd"/>
      <w:r w:rsidRPr="005E03B6">
        <w:rPr>
          <w:rFonts w:asciiTheme="minorHAnsi" w:hAnsiTheme="minorHAnsi" w:cstheme="minorHAnsi"/>
          <w:sz w:val="22"/>
          <w:szCs w:val="22"/>
        </w:rPr>
        <w:t xml:space="preserve"> to receive it in the course of their duties. We maintain a record of all those to whom Disclosures or Disclosure information has been r</w:t>
      </w:r>
      <w:r w:rsidRPr="005E03B6">
        <w:rPr>
          <w:rFonts w:asciiTheme="minorHAnsi" w:hAnsiTheme="minorHAnsi" w:cstheme="minorHAnsi"/>
          <w:sz w:val="22"/>
          <w:szCs w:val="22"/>
        </w:rPr>
        <w:t xml:space="preserve">evealed and we </w:t>
      </w:r>
      <w:proofErr w:type="spellStart"/>
      <w:r w:rsidRPr="005E03B6">
        <w:rPr>
          <w:rFonts w:asciiTheme="minorHAnsi" w:hAnsiTheme="minorHAnsi" w:cstheme="minorHAnsi"/>
          <w:sz w:val="22"/>
          <w:szCs w:val="22"/>
        </w:rPr>
        <w:t>recognise</w:t>
      </w:r>
      <w:proofErr w:type="spellEnd"/>
      <w:r w:rsidRPr="005E03B6">
        <w:rPr>
          <w:rFonts w:asciiTheme="minorHAnsi" w:hAnsiTheme="minorHAnsi" w:cstheme="minorHAnsi"/>
          <w:sz w:val="22"/>
          <w:szCs w:val="22"/>
        </w:rPr>
        <w:t xml:space="preserve"> that it is a criminal offence to pass this information to anyone who is not entitled to receive </w:t>
      </w:r>
      <w:proofErr w:type="gramStart"/>
      <w:r w:rsidRPr="005E03B6">
        <w:rPr>
          <w:rFonts w:asciiTheme="minorHAnsi" w:hAnsiTheme="minorHAnsi" w:cstheme="minorHAnsi"/>
          <w:sz w:val="22"/>
          <w:szCs w:val="22"/>
        </w:rPr>
        <w:t>it;</w:t>
      </w:r>
      <w:proofErr w:type="gramEnd"/>
    </w:p>
    <w:p w14:paraId="7F1DF9CD" w14:textId="77777777" w:rsidR="00313154" w:rsidRPr="005E03B6" w:rsidRDefault="00313154">
      <w:pPr>
        <w:pStyle w:val="BodyText"/>
        <w:rPr>
          <w:rFonts w:asciiTheme="minorHAnsi" w:hAnsiTheme="minorHAnsi" w:cstheme="minorHAnsi"/>
          <w:sz w:val="22"/>
          <w:szCs w:val="22"/>
        </w:rPr>
      </w:pPr>
    </w:p>
    <w:p w14:paraId="3C051D0B" w14:textId="77777777" w:rsidR="00313154" w:rsidRPr="005E03B6" w:rsidRDefault="00313154">
      <w:pPr>
        <w:pStyle w:val="BodyText"/>
        <w:spacing w:before="10"/>
        <w:rPr>
          <w:rFonts w:asciiTheme="minorHAnsi" w:hAnsiTheme="minorHAnsi" w:cstheme="minorHAnsi"/>
          <w:sz w:val="22"/>
          <w:szCs w:val="22"/>
        </w:rPr>
      </w:pPr>
    </w:p>
    <w:p w14:paraId="2B37F44E" w14:textId="77777777" w:rsidR="00313154" w:rsidRPr="005E03B6" w:rsidRDefault="005E03B6">
      <w:pPr>
        <w:pStyle w:val="Heading1"/>
        <w:numPr>
          <w:ilvl w:val="0"/>
          <w:numId w:val="1"/>
        </w:numPr>
        <w:tabs>
          <w:tab w:val="left" w:pos="440"/>
        </w:tabs>
        <w:spacing w:before="1"/>
        <w:ind w:hanging="325"/>
        <w:rPr>
          <w:rFonts w:asciiTheme="minorHAnsi" w:hAnsiTheme="minorHAnsi" w:cstheme="minorHAnsi"/>
          <w:sz w:val="22"/>
          <w:szCs w:val="22"/>
        </w:rPr>
      </w:pPr>
      <w:r w:rsidRPr="005E03B6">
        <w:rPr>
          <w:rFonts w:asciiTheme="minorHAnsi" w:hAnsiTheme="minorHAnsi" w:cstheme="minorHAnsi"/>
          <w:sz w:val="22"/>
          <w:szCs w:val="22"/>
        </w:rPr>
        <w:t>Usage</w:t>
      </w:r>
    </w:p>
    <w:p w14:paraId="1CA42EDA" w14:textId="77777777" w:rsidR="00313154" w:rsidRPr="005E03B6" w:rsidRDefault="005E03B6">
      <w:pPr>
        <w:pStyle w:val="BodyText"/>
        <w:spacing w:before="120"/>
        <w:ind w:left="115"/>
        <w:rPr>
          <w:rFonts w:asciiTheme="minorHAnsi" w:hAnsiTheme="minorHAnsi" w:cstheme="minorHAnsi"/>
          <w:sz w:val="22"/>
          <w:szCs w:val="22"/>
        </w:rPr>
      </w:pPr>
      <w:r w:rsidRPr="005E03B6">
        <w:rPr>
          <w:rFonts w:asciiTheme="minorHAnsi" w:hAnsiTheme="minorHAnsi" w:cstheme="minorHAnsi"/>
          <w:sz w:val="22"/>
          <w:szCs w:val="22"/>
        </w:rPr>
        <w:t xml:space="preserve">Disclosure information is only used for the specific purpose for which it was requested and for which the applicant's full </w:t>
      </w:r>
      <w:r w:rsidRPr="005E03B6">
        <w:rPr>
          <w:rFonts w:asciiTheme="minorHAnsi" w:hAnsiTheme="minorHAnsi" w:cstheme="minorHAnsi"/>
          <w:sz w:val="22"/>
          <w:szCs w:val="22"/>
        </w:rPr>
        <w:t xml:space="preserve">consent has been given. No copy or representation of the Disclosure contents will be made or </w:t>
      </w:r>
      <w:proofErr w:type="gramStart"/>
      <w:r w:rsidRPr="005E03B6">
        <w:rPr>
          <w:rFonts w:asciiTheme="minorHAnsi" w:hAnsiTheme="minorHAnsi" w:cstheme="minorHAnsi"/>
          <w:sz w:val="22"/>
          <w:szCs w:val="22"/>
        </w:rPr>
        <w:t>kept;</w:t>
      </w:r>
      <w:proofErr w:type="gramEnd"/>
    </w:p>
    <w:p w14:paraId="61A624DB" w14:textId="77777777" w:rsidR="00313154" w:rsidRPr="005E03B6" w:rsidRDefault="00313154">
      <w:pPr>
        <w:pStyle w:val="BodyText"/>
        <w:rPr>
          <w:rFonts w:asciiTheme="minorHAnsi" w:hAnsiTheme="minorHAnsi" w:cstheme="minorHAnsi"/>
          <w:sz w:val="22"/>
          <w:szCs w:val="22"/>
        </w:rPr>
      </w:pPr>
    </w:p>
    <w:p w14:paraId="3DE0C039" w14:textId="77777777" w:rsidR="00313154" w:rsidRPr="005E03B6" w:rsidRDefault="00313154">
      <w:pPr>
        <w:pStyle w:val="BodyText"/>
        <w:spacing w:before="11"/>
        <w:rPr>
          <w:rFonts w:asciiTheme="minorHAnsi" w:hAnsiTheme="minorHAnsi" w:cstheme="minorHAnsi"/>
          <w:sz w:val="22"/>
          <w:szCs w:val="22"/>
        </w:rPr>
      </w:pPr>
    </w:p>
    <w:p w14:paraId="723B1C4D" w14:textId="77777777" w:rsidR="00313154" w:rsidRPr="005E03B6" w:rsidRDefault="005E03B6">
      <w:pPr>
        <w:pStyle w:val="Heading1"/>
        <w:numPr>
          <w:ilvl w:val="0"/>
          <w:numId w:val="1"/>
        </w:numPr>
        <w:tabs>
          <w:tab w:val="left" w:pos="440"/>
        </w:tabs>
        <w:spacing w:before="1"/>
        <w:ind w:hanging="325"/>
        <w:rPr>
          <w:rFonts w:asciiTheme="minorHAnsi" w:hAnsiTheme="minorHAnsi" w:cstheme="minorHAnsi"/>
          <w:sz w:val="22"/>
          <w:szCs w:val="22"/>
        </w:rPr>
      </w:pPr>
      <w:r w:rsidRPr="005E03B6">
        <w:rPr>
          <w:rFonts w:asciiTheme="minorHAnsi" w:hAnsiTheme="minorHAnsi" w:cstheme="minorHAnsi"/>
          <w:sz w:val="22"/>
          <w:szCs w:val="22"/>
        </w:rPr>
        <w:t>Retention</w:t>
      </w:r>
    </w:p>
    <w:p w14:paraId="60B9AEC1" w14:textId="77777777" w:rsidR="00313154" w:rsidRPr="005E03B6" w:rsidRDefault="005E03B6">
      <w:pPr>
        <w:pStyle w:val="BodyText"/>
        <w:spacing w:before="120"/>
        <w:ind w:left="115"/>
        <w:rPr>
          <w:rFonts w:asciiTheme="minorHAnsi" w:hAnsiTheme="minorHAnsi" w:cstheme="minorHAnsi"/>
          <w:sz w:val="22"/>
          <w:szCs w:val="22"/>
        </w:rPr>
      </w:pPr>
      <w:r w:rsidRPr="005E03B6">
        <w:rPr>
          <w:rFonts w:asciiTheme="minorHAnsi" w:hAnsiTheme="minorHAnsi" w:cstheme="minorHAnsi"/>
          <w:sz w:val="22"/>
          <w:szCs w:val="22"/>
        </w:rPr>
        <w:t xml:space="preserve">Once a recruitment (or other relevant) decision has been made, we do not keep Disclosure information for any longer than is </w:t>
      </w:r>
      <w:proofErr w:type="gramStart"/>
      <w:r w:rsidRPr="005E03B6">
        <w:rPr>
          <w:rFonts w:asciiTheme="minorHAnsi" w:hAnsiTheme="minorHAnsi" w:cstheme="minorHAnsi"/>
          <w:sz w:val="22"/>
          <w:szCs w:val="22"/>
        </w:rPr>
        <w:t>absolutely necessary</w:t>
      </w:r>
      <w:proofErr w:type="gramEnd"/>
      <w:r w:rsidRPr="005E03B6">
        <w:rPr>
          <w:rFonts w:asciiTheme="minorHAnsi" w:hAnsiTheme="minorHAnsi" w:cstheme="minorHAnsi"/>
          <w:sz w:val="22"/>
          <w:szCs w:val="22"/>
        </w:rPr>
        <w:t>. This is generally for a period of up to six months, to allow for the consideration and resolution of any dispu</w:t>
      </w:r>
      <w:r w:rsidRPr="005E03B6">
        <w:rPr>
          <w:rFonts w:asciiTheme="minorHAnsi" w:hAnsiTheme="minorHAnsi" w:cstheme="minorHAnsi"/>
          <w:sz w:val="22"/>
          <w:szCs w:val="22"/>
        </w:rPr>
        <w:t xml:space="preserve">tes or complaints. If, in very exceptional circumstances, it is considered necessary to keep Disclosure information for longer than six months, we will consult the DBS about this and will </w:t>
      </w:r>
      <w:proofErr w:type="gramStart"/>
      <w:r w:rsidRPr="005E03B6">
        <w:rPr>
          <w:rFonts w:asciiTheme="minorHAnsi" w:hAnsiTheme="minorHAnsi" w:cstheme="minorHAnsi"/>
          <w:sz w:val="22"/>
          <w:szCs w:val="22"/>
        </w:rPr>
        <w:t>give full consideration to</w:t>
      </w:r>
      <w:proofErr w:type="gramEnd"/>
      <w:r w:rsidRPr="005E03B6">
        <w:rPr>
          <w:rFonts w:asciiTheme="minorHAnsi" w:hAnsiTheme="minorHAnsi" w:cstheme="minorHAnsi"/>
          <w:sz w:val="22"/>
          <w:szCs w:val="22"/>
        </w:rPr>
        <w:t xml:space="preserve"> the Data Protection and Human Rights of t</w:t>
      </w:r>
      <w:r w:rsidRPr="005E03B6">
        <w:rPr>
          <w:rFonts w:asciiTheme="minorHAnsi" w:hAnsiTheme="minorHAnsi" w:cstheme="minorHAnsi"/>
          <w:sz w:val="22"/>
          <w:szCs w:val="22"/>
        </w:rPr>
        <w:t xml:space="preserve">he person before doing so. Throughout this time the usual conditions regarding safe storage and strictly controlled access will </w:t>
      </w:r>
      <w:proofErr w:type="gramStart"/>
      <w:r w:rsidRPr="005E03B6">
        <w:rPr>
          <w:rFonts w:asciiTheme="minorHAnsi" w:hAnsiTheme="minorHAnsi" w:cstheme="minorHAnsi"/>
          <w:sz w:val="22"/>
          <w:szCs w:val="22"/>
        </w:rPr>
        <w:t>prevail;</w:t>
      </w:r>
      <w:proofErr w:type="gramEnd"/>
    </w:p>
    <w:p w14:paraId="4E721AD2" w14:textId="77777777" w:rsidR="00313154" w:rsidRPr="005E03B6" w:rsidRDefault="00313154">
      <w:pPr>
        <w:pStyle w:val="BodyText"/>
        <w:rPr>
          <w:rFonts w:asciiTheme="minorHAnsi" w:hAnsiTheme="minorHAnsi" w:cstheme="minorHAnsi"/>
          <w:sz w:val="22"/>
          <w:szCs w:val="22"/>
        </w:rPr>
      </w:pPr>
    </w:p>
    <w:p w14:paraId="0A7BDC09" w14:textId="77777777" w:rsidR="00313154" w:rsidRPr="005E03B6" w:rsidRDefault="00313154">
      <w:pPr>
        <w:pStyle w:val="BodyText"/>
        <w:rPr>
          <w:rFonts w:asciiTheme="minorHAnsi" w:hAnsiTheme="minorHAnsi" w:cstheme="minorHAnsi"/>
          <w:sz w:val="22"/>
          <w:szCs w:val="22"/>
        </w:rPr>
      </w:pPr>
    </w:p>
    <w:p w14:paraId="4CB4EE68" w14:textId="77777777" w:rsidR="00313154" w:rsidRPr="005E03B6" w:rsidRDefault="005E03B6">
      <w:pPr>
        <w:pStyle w:val="Heading1"/>
        <w:numPr>
          <w:ilvl w:val="0"/>
          <w:numId w:val="1"/>
        </w:numPr>
        <w:tabs>
          <w:tab w:val="left" w:pos="440"/>
        </w:tabs>
        <w:ind w:hanging="325"/>
        <w:rPr>
          <w:rFonts w:asciiTheme="minorHAnsi" w:hAnsiTheme="minorHAnsi" w:cstheme="minorHAnsi"/>
          <w:sz w:val="22"/>
          <w:szCs w:val="22"/>
        </w:rPr>
      </w:pPr>
      <w:r w:rsidRPr="005E03B6">
        <w:rPr>
          <w:rFonts w:asciiTheme="minorHAnsi" w:hAnsiTheme="minorHAnsi" w:cstheme="minorHAnsi"/>
          <w:sz w:val="22"/>
          <w:szCs w:val="22"/>
        </w:rPr>
        <w:t>Disposal</w:t>
      </w:r>
    </w:p>
    <w:p w14:paraId="542ADAE8" w14:textId="77777777" w:rsidR="00313154" w:rsidRPr="005E03B6" w:rsidRDefault="005E03B6">
      <w:pPr>
        <w:pStyle w:val="BodyText"/>
        <w:spacing w:before="121"/>
        <w:ind w:left="115" w:right="127"/>
        <w:rPr>
          <w:rFonts w:asciiTheme="minorHAnsi" w:hAnsiTheme="minorHAnsi" w:cstheme="minorHAnsi"/>
          <w:sz w:val="22"/>
          <w:szCs w:val="22"/>
        </w:rPr>
      </w:pPr>
      <w:r w:rsidRPr="005E03B6">
        <w:rPr>
          <w:rFonts w:asciiTheme="minorHAnsi" w:hAnsiTheme="minorHAnsi" w:cstheme="minorHAnsi"/>
          <w:sz w:val="22"/>
          <w:szCs w:val="22"/>
        </w:rPr>
        <w:t>Once the retention period has elapsed, we will ensure that any Disclosure information is immediately suitabl</w:t>
      </w:r>
      <w:r w:rsidRPr="005E03B6">
        <w:rPr>
          <w:rFonts w:asciiTheme="minorHAnsi" w:hAnsiTheme="minorHAnsi" w:cstheme="minorHAnsi"/>
          <w:sz w:val="22"/>
          <w:szCs w:val="22"/>
        </w:rPr>
        <w:t xml:space="preserve">y destroyed by secure means, </w:t>
      </w:r>
      <w:proofErr w:type="gramStart"/>
      <w:r w:rsidRPr="005E03B6">
        <w:rPr>
          <w:rFonts w:asciiTheme="minorHAnsi" w:hAnsiTheme="minorHAnsi" w:cstheme="minorHAnsi"/>
          <w:sz w:val="22"/>
          <w:szCs w:val="22"/>
        </w:rPr>
        <w:t>i.e.</w:t>
      </w:r>
      <w:proofErr w:type="gramEnd"/>
      <w:r w:rsidRPr="005E03B6">
        <w:rPr>
          <w:rFonts w:asciiTheme="minorHAnsi" w:hAnsiTheme="minorHAnsi" w:cstheme="minorHAnsi"/>
          <w:sz w:val="22"/>
          <w:szCs w:val="22"/>
        </w:rPr>
        <w:t xml:space="preserve"> by shredding, pulping or burning. While awaiting destruction, Disclosure information will not be kept in any insecure receptacle (</w:t>
      </w:r>
      <w:proofErr w:type="gramStart"/>
      <w:r w:rsidRPr="005E03B6">
        <w:rPr>
          <w:rFonts w:asciiTheme="minorHAnsi" w:hAnsiTheme="minorHAnsi" w:cstheme="minorHAnsi"/>
          <w:sz w:val="22"/>
          <w:szCs w:val="22"/>
        </w:rPr>
        <w:t>e.g.</w:t>
      </w:r>
      <w:proofErr w:type="gramEnd"/>
      <w:r w:rsidRPr="005E03B6">
        <w:rPr>
          <w:rFonts w:asciiTheme="minorHAnsi" w:hAnsiTheme="minorHAnsi" w:cstheme="minorHAnsi"/>
          <w:sz w:val="22"/>
          <w:szCs w:val="22"/>
        </w:rPr>
        <w:t xml:space="preserve"> waste bin or confidential waste sack). CSAS and its agents will not keep any photocopy </w:t>
      </w:r>
      <w:r w:rsidRPr="005E03B6">
        <w:rPr>
          <w:rFonts w:asciiTheme="minorHAnsi" w:hAnsiTheme="minorHAnsi" w:cstheme="minorHAnsi"/>
          <w:sz w:val="22"/>
          <w:szCs w:val="22"/>
        </w:rPr>
        <w:t xml:space="preserve">or other image of the Disclosure or any copy or representation of the contents of a Disclosure. </w:t>
      </w:r>
      <w:proofErr w:type="gramStart"/>
      <w:r w:rsidRPr="005E03B6">
        <w:rPr>
          <w:rFonts w:asciiTheme="minorHAnsi" w:hAnsiTheme="minorHAnsi" w:cstheme="minorHAnsi"/>
          <w:sz w:val="22"/>
          <w:szCs w:val="22"/>
        </w:rPr>
        <w:t>However</w:t>
      </w:r>
      <w:proofErr w:type="gramEnd"/>
      <w:r w:rsidRPr="005E03B6">
        <w:rPr>
          <w:rFonts w:asciiTheme="minorHAnsi" w:hAnsiTheme="minorHAnsi" w:cstheme="minorHAnsi"/>
          <w:sz w:val="22"/>
          <w:szCs w:val="22"/>
        </w:rPr>
        <w:t xml:space="preserve"> notwithstanding the above, we will keep a record of the date of issue of a Disclosure, the name of the subject, the type of the Disclosure requested, th</w:t>
      </w:r>
      <w:r w:rsidRPr="005E03B6">
        <w:rPr>
          <w:rFonts w:asciiTheme="minorHAnsi" w:hAnsiTheme="minorHAnsi" w:cstheme="minorHAnsi"/>
          <w:sz w:val="22"/>
          <w:szCs w:val="22"/>
        </w:rPr>
        <w:t>e position for which the Disclosure was requested, the unique reference number of the Disclosure and the details of the recruitment decision taken.</w:t>
      </w:r>
    </w:p>
    <w:sectPr w:rsidR="00313154" w:rsidRPr="005E03B6">
      <w:type w:val="continuous"/>
      <w:pgSz w:w="11900" w:h="16840"/>
      <w:pgMar w:top="130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549CF"/>
    <w:multiLevelType w:val="hybridMultilevel"/>
    <w:tmpl w:val="B2FCE276"/>
    <w:lvl w:ilvl="0" w:tplc="84541F66">
      <w:start w:val="1"/>
      <w:numFmt w:val="decimal"/>
      <w:lvlText w:val="%1."/>
      <w:lvlJc w:val="left"/>
      <w:pPr>
        <w:ind w:left="439" w:hanging="324"/>
        <w:jc w:val="left"/>
      </w:pPr>
      <w:rPr>
        <w:rFonts w:ascii="Verdana" w:eastAsia="Verdana" w:hAnsi="Verdana" w:cs="Verdana" w:hint="default"/>
        <w:spacing w:val="-7"/>
        <w:w w:val="100"/>
        <w:sz w:val="24"/>
        <w:szCs w:val="24"/>
        <w:lang w:val="en-US" w:eastAsia="en-US" w:bidi="ar-SA"/>
      </w:rPr>
    </w:lvl>
    <w:lvl w:ilvl="1" w:tplc="E7D0ABD4">
      <w:numFmt w:val="bullet"/>
      <w:lvlText w:val="•"/>
      <w:lvlJc w:val="left"/>
      <w:pPr>
        <w:ind w:left="1380" w:hanging="324"/>
      </w:pPr>
      <w:rPr>
        <w:rFonts w:hint="default"/>
        <w:lang w:val="en-US" w:eastAsia="en-US" w:bidi="ar-SA"/>
      </w:rPr>
    </w:lvl>
    <w:lvl w:ilvl="2" w:tplc="6AA46E6A">
      <w:numFmt w:val="bullet"/>
      <w:lvlText w:val="•"/>
      <w:lvlJc w:val="left"/>
      <w:pPr>
        <w:ind w:left="2320" w:hanging="324"/>
      </w:pPr>
      <w:rPr>
        <w:rFonts w:hint="default"/>
        <w:lang w:val="en-US" w:eastAsia="en-US" w:bidi="ar-SA"/>
      </w:rPr>
    </w:lvl>
    <w:lvl w:ilvl="3" w:tplc="34CAB428">
      <w:numFmt w:val="bullet"/>
      <w:lvlText w:val="•"/>
      <w:lvlJc w:val="left"/>
      <w:pPr>
        <w:ind w:left="3260" w:hanging="324"/>
      </w:pPr>
      <w:rPr>
        <w:rFonts w:hint="default"/>
        <w:lang w:val="en-US" w:eastAsia="en-US" w:bidi="ar-SA"/>
      </w:rPr>
    </w:lvl>
    <w:lvl w:ilvl="4" w:tplc="E6CCC102">
      <w:numFmt w:val="bullet"/>
      <w:lvlText w:val="•"/>
      <w:lvlJc w:val="left"/>
      <w:pPr>
        <w:ind w:left="4200" w:hanging="324"/>
      </w:pPr>
      <w:rPr>
        <w:rFonts w:hint="default"/>
        <w:lang w:val="en-US" w:eastAsia="en-US" w:bidi="ar-SA"/>
      </w:rPr>
    </w:lvl>
    <w:lvl w:ilvl="5" w:tplc="1CA8E18C">
      <w:numFmt w:val="bullet"/>
      <w:lvlText w:val="•"/>
      <w:lvlJc w:val="left"/>
      <w:pPr>
        <w:ind w:left="5140" w:hanging="324"/>
      </w:pPr>
      <w:rPr>
        <w:rFonts w:hint="default"/>
        <w:lang w:val="en-US" w:eastAsia="en-US" w:bidi="ar-SA"/>
      </w:rPr>
    </w:lvl>
    <w:lvl w:ilvl="6" w:tplc="52201560">
      <w:numFmt w:val="bullet"/>
      <w:lvlText w:val="•"/>
      <w:lvlJc w:val="left"/>
      <w:pPr>
        <w:ind w:left="6080" w:hanging="324"/>
      </w:pPr>
      <w:rPr>
        <w:rFonts w:hint="default"/>
        <w:lang w:val="en-US" w:eastAsia="en-US" w:bidi="ar-SA"/>
      </w:rPr>
    </w:lvl>
    <w:lvl w:ilvl="7" w:tplc="4AE244CE">
      <w:numFmt w:val="bullet"/>
      <w:lvlText w:val="•"/>
      <w:lvlJc w:val="left"/>
      <w:pPr>
        <w:ind w:left="7020" w:hanging="324"/>
      </w:pPr>
      <w:rPr>
        <w:rFonts w:hint="default"/>
        <w:lang w:val="en-US" w:eastAsia="en-US" w:bidi="ar-SA"/>
      </w:rPr>
    </w:lvl>
    <w:lvl w:ilvl="8" w:tplc="225EE862">
      <w:numFmt w:val="bullet"/>
      <w:lvlText w:val="•"/>
      <w:lvlJc w:val="left"/>
      <w:pPr>
        <w:ind w:left="7960" w:hanging="32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54"/>
    <w:rsid w:val="00313154"/>
    <w:rsid w:val="005E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1359"/>
  <w15:docId w15:val="{75ADDD9D-1B24-49A5-9724-628CC4B5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439" w:hanging="32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74"/>
      <w:ind w:left="115"/>
    </w:pPr>
    <w:rPr>
      <w:b/>
      <w:bCs/>
      <w:sz w:val="28"/>
      <w:szCs w:val="28"/>
    </w:rPr>
  </w:style>
  <w:style w:type="paragraph" w:styleId="ListParagraph">
    <w:name w:val="List Paragraph"/>
    <w:basedOn w:val="Normal"/>
    <w:uiPriority w:val="1"/>
    <w:qFormat/>
    <w:pPr>
      <w:ind w:left="439" w:hanging="32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Peluso</dc:creator>
  <cp:lastModifiedBy>Johanna Peluso</cp:lastModifiedBy>
  <cp:revision>2</cp:revision>
  <dcterms:created xsi:type="dcterms:W3CDTF">2021-01-18T12:37:00Z</dcterms:created>
  <dcterms:modified xsi:type="dcterms:W3CDTF">2021-01-18T12:37:00Z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2013-02-16T00:00:00Z</vt:filetime>
  </property>
  <property fmtid="{D5CDD505-2E9C-101B-9397-08002B2CF9AE}" pid="3" name="Creator">
    <vt:lpwstr>Writer</vt:lpwstr>
  </property>
  <property fmtid="{D5CDD505-2E9C-101B-9397-08002B2CF9AE}" pid="4" name="LastSaved">
    <vt:filetime>2021-01-18T00:00:00Z</vt:filetime>
  </property>
</Properties>
</file>