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B96C8" w14:textId="77777777" w:rsidR="00AE4368" w:rsidRPr="006028AD" w:rsidRDefault="00AE4368" w:rsidP="006028AD">
      <w:pPr>
        <w:shd w:val="clear" w:color="auto" w:fill="FFFFFF"/>
        <w:spacing w:before="450" w:line="375" w:lineRule="atLeast"/>
        <w:jc w:val="both"/>
        <w:textAlignment w:val="baseline"/>
        <w:outlineLvl w:val="3"/>
        <w:rPr>
          <w:rFonts w:asciiTheme="minorHAnsi" w:eastAsia="Times New Roman" w:hAnsiTheme="minorHAnsi" w:cstheme="minorHAnsi"/>
          <w:b/>
          <w:bCs/>
          <w:color w:val="000000"/>
          <w:sz w:val="28"/>
          <w:szCs w:val="28"/>
          <w:lang w:eastAsia="en-GB"/>
        </w:rPr>
      </w:pPr>
      <w:bookmarkStart w:id="0" w:name="_GoBack"/>
      <w:bookmarkEnd w:id="0"/>
      <w:r w:rsidRPr="006028AD">
        <w:rPr>
          <w:rFonts w:asciiTheme="minorHAnsi" w:eastAsia="Times New Roman" w:hAnsiTheme="minorHAnsi" w:cstheme="minorHAnsi"/>
          <w:b/>
          <w:bCs/>
          <w:color w:val="000000"/>
          <w:sz w:val="28"/>
          <w:szCs w:val="28"/>
          <w:lang w:eastAsia="en-GB"/>
        </w:rPr>
        <w:t>What constitutes abuse and neglect in adults?</w:t>
      </w:r>
    </w:p>
    <w:p w14:paraId="4B346C5E" w14:textId="77777777" w:rsidR="00AE4368" w:rsidRPr="006028AD" w:rsidRDefault="00AE4368" w:rsidP="006028AD">
      <w:pPr>
        <w:shd w:val="clear" w:color="auto" w:fill="FFFFFF"/>
        <w:spacing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 xml:space="preserve">This is not intended to be an exhaustive list but an illustrative guide as to the sort of behaviour which could give rise to a safeguarding concern. </w:t>
      </w:r>
    </w:p>
    <w:p w14:paraId="352E39B3"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view of what constitutes abuse or neglect should not be limited, as they can take many forms and the circumstances of the individual case should always be considered.  Exploitation, in particular, is a common theme in the following list of the types of abuse and neglect.</w:t>
      </w:r>
    </w:p>
    <w:p w14:paraId="496862EA"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Physical abuse including:</w:t>
      </w:r>
    </w:p>
    <w:p w14:paraId="44A79182"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assault</w:t>
      </w:r>
    </w:p>
    <w:p w14:paraId="6B8614A5"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hitting</w:t>
      </w:r>
    </w:p>
    <w:p w14:paraId="11D2F7C7"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slapping</w:t>
      </w:r>
    </w:p>
    <w:p w14:paraId="65784E41"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pushing</w:t>
      </w:r>
    </w:p>
    <w:p w14:paraId="535EFFF5"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misuse of medication</w:t>
      </w:r>
    </w:p>
    <w:p w14:paraId="7E8E4CDE"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restraint</w:t>
      </w:r>
    </w:p>
    <w:p w14:paraId="3427CBF2" w14:textId="77777777" w:rsidR="00AE4368" w:rsidRPr="006028AD" w:rsidRDefault="00AE4368" w:rsidP="006028AD">
      <w:pPr>
        <w:numPr>
          <w:ilvl w:val="0"/>
          <w:numId w:val="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inappropriate physical sanctions</w:t>
      </w:r>
    </w:p>
    <w:p w14:paraId="75C7E0F2"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Domestic violence including:</w:t>
      </w:r>
    </w:p>
    <w:p w14:paraId="100DA28C" w14:textId="77777777" w:rsidR="00AE4368" w:rsidRPr="006028AD" w:rsidRDefault="00AE4368" w:rsidP="006028AD">
      <w:pPr>
        <w:numPr>
          <w:ilvl w:val="0"/>
          <w:numId w:val="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psychological</w:t>
      </w:r>
    </w:p>
    <w:p w14:paraId="7621876F" w14:textId="77777777" w:rsidR="00AE4368" w:rsidRPr="006028AD" w:rsidRDefault="00AE4368" w:rsidP="006028AD">
      <w:pPr>
        <w:numPr>
          <w:ilvl w:val="0"/>
          <w:numId w:val="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physical</w:t>
      </w:r>
    </w:p>
    <w:p w14:paraId="7F559E76" w14:textId="77777777" w:rsidR="00AE4368" w:rsidRPr="006028AD" w:rsidRDefault="00AE4368" w:rsidP="006028AD">
      <w:pPr>
        <w:numPr>
          <w:ilvl w:val="0"/>
          <w:numId w:val="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w:t>
      </w:r>
    </w:p>
    <w:p w14:paraId="12AD1FDD" w14:textId="77777777" w:rsidR="00AE4368" w:rsidRPr="006028AD" w:rsidRDefault="00AE4368" w:rsidP="006028AD">
      <w:pPr>
        <w:numPr>
          <w:ilvl w:val="0"/>
          <w:numId w:val="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financial</w:t>
      </w:r>
    </w:p>
    <w:p w14:paraId="16AC12AA" w14:textId="77777777" w:rsidR="00AE4368" w:rsidRPr="006028AD" w:rsidRDefault="00AE4368" w:rsidP="006028AD">
      <w:pPr>
        <w:numPr>
          <w:ilvl w:val="0"/>
          <w:numId w:val="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emotional abuse</w:t>
      </w:r>
    </w:p>
    <w:p w14:paraId="6254D222" w14:textId="77777777" w:rsidR="00AE4368" w:rsidRPr="006028AD" w:rsidRDefault="00AE4368" w:rsidP="006028AD">
      <w:pPr>
        <w:numPr>
          <w:ilvl w:val="0"/>
          <w:numId w:val="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so called ‘honour’ based violence</w:t>
      </w:r>
    </w:p>
    <w:p w14:paraId="6B0E3C0A"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Sexual abuse including:</w:t>
      </w:r>
    </w:p>
    <w:p w14:paraId="1C2235BC"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rape</w:t>
      </w:r>
    </w:p>
    <w:p w14:paraId="67742890"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indecent exposure</w:t>
      </w:r>
    </w:p>
    <w:p w14:paraId="6E451026"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 harassment</w:t>
      </w:r>
    </w:p>
    <w:p w14:paraId="6A897AF6"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inappropriate looking or touching</w:t>
      </w:r>
    </w:p>
    <w:p w14:paraId="373F24A1"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 teasing or innuendo</w:t>
      </w:r>
    </w:p>
    <w:p w14:paraId="0C6D1899"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 photography</w:t>
      </w:r>
    </w:p>
    <w:p w14:paraId="50554C78"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subjection to pornography or witnessing sexual acts</w:t>
      </w:r>
    </w:p>
    <w:p w14:paraId="73637BD8"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indecent exposure</w:t>
      </w:r>
    </w:p>
    <w:p w14:paraId="4A930F05"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 assault</w:t>
      </w:r>
    </w:p>
    <w:p w14:paraId="06B40EE8" w14:textId="77777777" w:rsidR="00AE4368" w:rsidRPr="006028AD" w:rsidRDefault="00AE4368" w:rsidP="006028AD">
      <w:pPr>
        <w:numPr>
          <w:ilvl w:val="0"/>
          <w:numId w:val="7"/>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 acts to which the adult has not consented or was pressured into consenting</w:t>
      </w:r>
    </w:p>
    <w:p w14:paraId="44AC96D3"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Psychological abuse including:</w:t>
      </w:r>
    </w:p>
    <w:p w14:paraId="2C22ED80"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emotional abuse</w:t>
      </w:r>
    </w:p>
    <w:p w14:paraId="52FE20F7"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threats of harm or abandonment</w:t>
      </w:r>
    </w:p>
    <w:p w14:paraId="7A4378EC"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lastRenderedPageBreak/>
        <w:t>deprivation of contact</w:t>
      </w:r>
    </w:p>
    <w:p w14:paraId="0982E3BC"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humiliation</w:t>
      </w:r>
    </w:p>
    <w:p w14:paraId="7D674948"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blaming</w:t>
      </w:r>
    </w:p>
    <w:p w14:paraId="7E7352E0"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controlling</w:t>
      </w:r>
    </w:p>
    <w:p w14:paraId="293F682B"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intimidation</w:t>
      </w:r>
    </w:p>
    <w:p w14:paraId="008BF8CA"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coercion</w:t>
      </w:r>
    </w:p>
    <w:p w14:paraId="14D41595"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harassment</w:t>
      </w:r>
    </w:p>
    <w:p w14:paraId="274CB173"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verbal abuse</w:t>
      </w:r>
    </w:p>
    <w:p w14:paraId="44405039"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cyber bullying</w:t>
      </w:r>
    </w:p>
    <w:p w14:paraId="725268D1"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isolation</w:t>
      </w:r>
    </w:p>
    <w:p w14:paraId="5E8C14CE" w14:textId="77777777" w:rsidR="00AE4368" w:rsidRPr="006028AD" w:rsidRDefault="00AE4368" w:rsidP="006028AD">
      <w:pPr>
        <w:numPr>
          <w:ilvl w:val="0"/>
          <w:numId w:val="8"/>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unreasonable and unjustified withdrawal of services or supportive networks</w:t>
      </w:r>
    </w:p>
    <w:p w14:paraId="3F071ED8"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Financial or material abuse including:</w:t>
      </w:r>
    </w:p>
    <w:p w14:paraId="0F370F8D" w14:textId="77777777" w:rsidR="00AE4368" w:rsidRPr="006028AD" w:rsidRDefault="00AE4368" w:rsidP="006028AD">
      <w:pPr>
        <w:numPr>
          <w:ilvl w:val="0"/>
          <w:numId w:val="9"/>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theft</w:t>
      </w:r>
    </w:p>
    <w:p w14:paraId="4E5C47D9" w14:textId="77777777" w:rsidR="00AE4368" w:rsidRPr="006028AD" w:rsidRDefault="00AE4368" w:rsidP="006028AD">
      <w:pPr>
        <w:numPr>
          <w:ilvl w:val="0"/>
          <w:numId w:val="9"/>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fraud</w:t>
      </w:r>
    </w:p>
    <w:p w14:paraId="453D2F71" w14:textId="77777777" w:rsidR="00AE4368" w:rsidRPr="006028AD" w:rsidRDefault="00AE4368" w:rsidP="006028AD">
      <w:pPr>
        <w:numPr>
          <w:ilvl w:val="0"/>
          <w:numId w:val="9"/>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internet scamming</w:t>
      </w:r>
    </w:p>
    <w:p w14:paraId="5751D332" w14:textId="77777777" w:rsidR="00AE4368" w:rsidRPr="006028AD" w:rsidRDefault="00AE4368" w:rsidP="006028AD">
      <w:pPr>
        <w:numPr>
          <w:ilvl w:val="0"/>
          <w:numId w:val="9"/>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coercion in relation to an adult’s financial affairs or arrangements, including in connection with wills, property, inheritance or financial transactions</w:t>
      </w:r>
    </w:p>
    <w:p w14:paraId="79201A80" w14:textId="77777777" w:rsidR="00AE4368" w:rsidRPr="006028AD" w:rsidRDefault="00AE4368" w:rsidP="006028AD">
      <w:pPr>
        <w:numPr>
          <w:ilvl w:val="0"/>
          <w:numId w:val="9"/>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misuse or misappropriation of property, possessions or benefits</w:t>
      </w:r>
    </w:p>
    <w:p w14:paraId="5FA58B92"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Modern slavery encompasses:</w:t>
      </w:r>
    </w:p>
    <w:p w14:paraId="6CE84F9B" w14:textId="77777777" w:rsidR="00AE4368" w:rsidRPr="006028AD" w:rsidRDefault="00AE4368" w:rsidP="006028AD">
      <w:pPr>
        <w:numPr>
          <w:ilvl w:val="0"/>
          <w:numId w:val="10"/>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slavery</w:t>
      </w:r>
    </w:p>
    <w:p w14:paraId="2742D8E8" w14:textId="77777777" w:rsidR="00AE4368" w:rsidRPr="006028AD" w:rsidRDefault="00AE4368" w:rsidP="006028AD">
      <w:pPr>
        <w:numPr>
          <w:ilvl w:val="0"/>
          <w:numId w:val="10"/>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human trafficking</w:t>
      </w:r>
    </w:p>
    <w:p w14:paraId="4A880FD3" w14:textId="77777777" w:rsidR="00AE4368" w:rsidRPr="006028AD" w:rsidRDefault="00AE4368" w:rsidP="006028AD">
      <w:pPr>
        <w:numPr>
          <w:ilvl w:val="0"/>
          <w:numId w:val="10"/>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forced labour and domestic servitude.</w:t>
      </w:r>
    </w:p>
    <w:p w14:paraId="60D3FFCC" w14:textId="77777777" w:rsidR="00AE4368" w:rsidRPr="006028AD" w:rsidRDefault="00AE4368" w:rsidP="006028AD">
      <w:pPr>
        <w:numPr>
          <w:ilvl w:val="0"/>
          <w:numId w:val="10"/>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traffickers and slave masters using whatever means they have at their disposal to coerce, deceive and force individuals into a life of abuse, servitude and inhumane treatment</w:t>
      </w:r>
    </w:p>
    <w:p w14:paraId="40090F66" w14:textId="77777777" w:rsidR="00AE4368" w:rsidRPr="006028AD"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p>
    <w:p w14:paraId="36A0912D" w14:textId="77777777" w:rsidR="00AE4368" w:rsidRPr="006028AD"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Read </w:t>
      </w:r>
      <w:hyperlink r:id="rId10" w:history="1">
        <w:r w:rsidRPr="006028AD">
          <w:rPr>
            <w:rFonts w:asciiTheme="minorHAnsi" w:eastAsia="Times New Roman" w:hAnsiTheme="minorHAnsi" w:cstheme="minorHAnsi"/>
            <w:color w:val="4C2C92"/>
            <w:u w:val="single"/>
            <w:bdr w:val="none" w:sz="0" w:space="0" w:color="auto" w:frame="1"/>
            <w:lang w:eastAsia="en-GB"/>
          </w:rPr>
          <w:t>Modern slavery: how the UK is leading the fight</w:t>
        </w:r>
      </w:hyperlink>
      <w:r w:rsidRPr="006028AD">
        <w:rPr>
          <w:rFonts w:asciiTheme="minorHAnsi" w:eastAsia="Times New Roman" w:hAnsiTheme="minorHAnsi" w:cstheme="minorHAnsi"/>
          <w:color w:val="0B0C0C"/>
          <w:lang w:eastAsia="en-GB"/>
        </w:rPr>
        <w:t> for further information.</w:t>
      </w:r>
    </w:p>
    <w:p w14:paraId="48EE2C03"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Discriminatory abuse including forms of:</w:t>
      </w:r>
    </w:p>
    <w:p w14:paraId="741B3F8F" w14:textId="77777777" w:rsidR="00AE4368" w:rsidRPr="00063A78" w:rsidRDefault="00AE4368" w:rsidP="00063A78">
      <w:pPr>
        <w:pStyle w:val="ListParagraph"/>
        <w:numPr>
          <w:ilvl w:val="0"/>
          <w:numId w:val="17"/>
        </w:numPr>
        <w:shd w:val="clear" w:color="auto" w:fill="FFFFFF"/>
        <w:ind w:left="284"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harassment</w:t>
      </w:r>
    </w:p>
    <w:p w14:paraId="5462544C" w14:textId="77777777" w:rsidR="00AE4368" w:rsidRPr="00063A78" w:rsidRDefault="00AE4368" w:rsidP="00063A78">
      <w:pPr>
        <w:pStyle w:val="ListParagraph"/>
        <w:numPr>
          <w:ilvl w:val="0"/>
          <w:numId w:val="17"/>
        </w:numPr>
        <w:shd w:val="clear" w:color="auto" w:fill="FFFFFF"/>
        <w:ind w:left="284"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slurs or similar treatment:</w:t>
      </w:r>
    </w:p>
    <w:p w14:paraId="5B48D17B" w14:textId="77777777" w:rsidR="00AE4368" w:rsidRPr="00063A78" w:rsidRDefault="00AE4368" w:rsidP="00063A78">
      <w:pPr>
        <w:pStyle w:val="ListParagraph"/>
        <w:numPr>
          <w:ilvl w:val="0"/>
          <w:numId w:val="17"/>
        </w:numPr>
        <w:shd w:val="clear" w:color="auto" w:fill="FFFFFF"/>
        <w:ind w:left="284" w:right="300"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because of race</w:t>
      </w:r>
    </w:p>
    <w:p w14:paraId="13994EC7" w14:textId="77777777" w:rsidR="00AE4368" w:rsidRPr="00063A78" w:rsidRDefault="00AE4368" w:rsidP="00063A78">
      <w:pPr>
        <w:pStyle w:val="ListParagraph"/>
        <w:numPr>
          <w:ilvl w:val="0"/>
          <w:numId w:val="17"/>
        </w:numPr>
        <w:shd w:val="clear" w:color="auto" w:fill="FFFFFF"/>
        <w:ind w:left="284" w:right="300"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gender and gender identity</w:t>
      </w:r>
    </w:p>
    <w:p w14:paraId="7B6FDBC4" w14:textId="77777777" w:rsidR="00AE4368" w:rsidRPr="00063A78" w:rsidRDefault="00AE4368" w:rsidP="00063A78">
      <w:pPr>
        <w:pStyle w:val="ListParagraph"/>
        <w:numPr>
          <w:ilvl w:val="0"/>
          <w:numId w:val="17"/>
        </w:numPr>
        <w:shd w:val="clear" w:color="auto" w:fill="FFFFFF"/>
        <w:ind w:left="284" w:right="300"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age</w:t>
      </w:r>
    </w:p>
    <w:p w14:paraId="0D4EE63E" w14:textId="77777777" w:rsidR="00AE4368" w:rsidRPr="00063A78" w:rsidRDefault="00AE4368" w:rsidP="00063A78">
      <w:pPr>
        <w:pStyle w:val="ListParagraph"/>
        <w:numPr>
          <w:ilvl w:val="0"/>
          <w:numId w:val="17"/>
        </w:numPr>
        <w:shd w:val="clear" w:color="auto" w:fill="FFFFFF"/>
        <w:ind w:left="284" w:right="300"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disability</w:t>
      </w:r>
    </w:p>
    <w:p w14:paraId="26E38BB4" w14:textId="77777777" w:rsidR="00AE4368" w:rsidRPr="00063A78" w:rsidRDefault="00AE4368" w:rsidP="00063A78">
      <w:pPr>
        <w:pStyle w:val="ListParagraph"/>
        <w:numPr>
          <w:ilvl w:val="0"/>
          <w:numId w:val="17"/>
        </w:numPr>
        <w:shd w:val="clear" w:color="auto" w:fill="FFFFFF"/>
        <w:ind w:left="284" w:right="300"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sexual orientation</w:t>
      </w:r>
    </w:p>
    <w:p w14:paraId="02732E31" w14:textId="77777777" w:rsidR="00AE4368" w:rsidRPr="00063A78" w:rsidRDefault="00AE4368" w:rsidP="00063A78">
      <w:pPr>
        <w:pStyle w:val="ListParagraph"/>
        <w:numPr>
          <w:ilvl w:val="0"/>
          <w:numId w:val="17"/>
        </w:numPr>
        <w:shd w:val="clear" w:color="auto" w:fill="FFFFFF"/>
        <w:ind w:left="284" w:right="300" w:hanging="284"/>
        <w:jc w:val="both"/>
        <w:rPr>
          <w:rFonts w:asciiTheme="minorHAnsi" w:hAnsiTheme="minorHAnsi" w:cstheme="minorHAnsi"/>
          <w:color w:val="0B0C0C"/>
          <w:lang w:eastAsia="en-GB"/>
        </w:rPr>
      </w:pPr>
      <w:r w:rsidRPr="00063A78">
        <w:rPr>
          <w:rFonts w:asciiTheme="minorHAnsi" w:hAnsiTheme="minorHAnsi" w:cstheme="minorHAnsi"/>
          <w:color w:val="0B0C0C"/>
          <w:lang w:eastAsia="en-GB"/>
        </w:rPr>
        <w:t>religion</w:t>
      </w:r>
    </w:p>
    <w:p w14:paraId="17BFD150" w14:textId="77777777" w:rsidR="00AE4368" w:rsidRPr="006028AD"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p>
    <w:p w14:paraId="34CDB6CB" w14:textId="048F4D59" w:rsidR="00AE4368"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Read </w:t>
      </w:r>
      <w:hyperlink r:id="rId11" w:history="1">
        <w:r w:rsidRPr="006028AD">
          <w:rPr>
            <w:rFonts w:asciiTheme="minorHAnsi" w:eastAsia="Times New Roman" w:hAnsiTheme="minorHAnsi" w:cstheme="minorHAnsi"/>
            <w:color w:val="4C2C92"/>
            <w:u w:val="single"/>
            <w:bdr w:val="none" w:sz="0" w:space="0" w:color="auto" w:frame="1"/>
            <w:lang w:eastAsia="en-GB"/>
          </w:rPr>
          <w:t>Discrimination: your rights</w:t>
        </w:r>
      </w:hyperlink>
      <w:r w:rsidRPr="006028AD">
        <w:rPr>
          <w:rFonts w:asciiTheme="minorHAnsi" w:eastAsia="Times New Roman" w:hAnsiTheme="minorHAnsi" w:cstheme="minorHAnsi"/>
          <w:color w:val="0B0C0C"/>
          <w:lang w:eastAsia="en-GB"/>
        </w:rPr>
        <w:t> for further information.</w:t>
      </w:r>
    </w:p>
    <w:p w14:paraId="0896FB05" w14:textId="1FCCE77E" w:rsidR="00063A78" w:rsidRDefault="00063A78" w:rsidP="006028AD">
      <w:pPr>
        <w:shd w:val="clear" w:color="auto" w:fill="FFFFFF"/>
        <w:spacing w:after="0" w:line="240" w:lineRule="auto"/>
        <w:jc w:val="both"/>
        <w:rPr>
          <w:rFonts w:asciiTheme="minorHAnsi" w:eastAsia="Times New Roman" w:hAnsiTheme="minorHAnsi" w:cstheme="minorHAnsi"/>
          <w:color w:val="0B0C0C"/>
          <w:lang w:eastAsia="en-GB"/>
        </w:rPr>
      </w:pPr>
    </w:p>
    <w:p w14:paraId="12D99AC7" w14:textId="77777777" w:rsidR="00063A78" w:rsidRPr="006028AD" w:rsidRDefault="00063A78" w:rsidP="006028AD">
      <w:pPr>
        <w:shd w:val="clear" w:color="auto" w:fill="FFFFFF"/>
        <w:spacing w:after="0" w:line="240" w:lineRule="auto"/>
        <w:jc w:val="both"/>
        <w:rPr>
          <w:rFonts w:asciiTheme="minorHAnsi" w:eastAsia="Times New Roman" w:hAnsiTheme="minorHAnsi" w:cstheme="minorHAnsi"/>
          <w:color w:val="0B0C0C"/>
          <w:lang w:eastAsia="en-GB"/>
        </w:rPr>
      </w:pPr>
    </w:p>
    <w:p w14:paraId="52EA5439"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lastRenderedPageBreak/>
        <w:t>Organisational abuse</w:t>
      </w:r>
    </w:p>
    <w:p w14:paraId="02ADFDAE" w14:textId="77777777" w:rsidR="00AE4368" w:rsidRPr="006028AD" w:rsidRDefault="00AE4368" w:rsidP="006028AD">
      <w:pPr>
        <w:shd w:val="clear" w:color="auto" w:fill="FFFFFF"/>
        <w:spacing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67E9B00F"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Neglect and acts of omission including:</w:t>
      </w:r>
    </w:p>
    <w:p w14:paraId="0B1423F8" w14:textId="77777777" w:rsidR="00AE4368" w:rsidRPr="006028AD" w:rsidRDefault="00AE4368" w:rsidP="006028AD">
      <w:pPr>
        <w:numPr>
          <w:ilvl w:val="0"/>
          <w:numId w:val="12"/>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ignoring medical</w:t>
      </w:r>
    </w:p>
    <w:p w14:paraId="1EB49685" w14:textId="77777777" w:rsidR="00AE4368" w:rsidRPr="006028AD" w:rsidRDefault="00AE4368" w:rsidP="006028AD">
      <w:pPr>
        <w:numPr>
          <w:ilvl w:val="0"/>
          <w:numId w:val="12"/>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emotional or physical care needs</w:t>
      </w:r>
    </w:p>
    <w:p w14:paraId="10FF335A" w14:textId="77777777" w:rsidR="00AE4368" w:rsidRPr="006028AD" w:rsidRDefault="00AE4368" w:rsidP="006028AD">
      <w:pPr>
        <w:numPr>
          <w:ilvl w:val="0"/>
          <w:numId w:val="12"/>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failure to provide access to appropriate health, care and support or educational services</w:t>
      </w:r>
    </w:p>
    <w:p w14:paraId="2961BEAA" w14:textId="77777777" w:rsidR="00AE4368" w:rsidRPr="006028AD" w:rsidRDefault="00AE4368" w:rsidP="006028AD">
      <w:pPr>
        <w:numPr>
          <w:ilvl w:val="0"/>
          <w:numId w:val="12"/>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withholding of the necessities of life, such as medication, adequate nutrition and heating</w:t>
      </w:r>
    </w:p>
    <w:p w14:paraId="25DC57BA"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Self-neglect</w:t>
      </w:r>
    </w:p>
    <w:p w14:paraId="111E377D" w14:textId="77777777" w:rsidR="00AE4368" w:rsidRPr="006028AD" w:rsidRDefault="00AE4368" w:rsidP="006028AD">
      <w:pPr>
        <w:shd w:val="clear" w:color="auto" w:fill="FFFFFF"/>
        <w:spacing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This covers a wide range of behaviour neglecting to care for one’s personal hygiene, health or surroundings and includes behaviour such as hoarding. It should be noted that self-neglect may not prompt a section 42 enquiry. An assessment should be made on a case by case basis. A decision on whether a response is required under safeguarding will depend on the adult’s ability to protect themselves by controlling their own behaviour. There may come a point when they are no longer able to do this, without external support.</w:t>
      </w:r>
    </w:p>
    <w:p w14:paraId="4F4383BC"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Repeated instances of poor care may be an indication of more serious problems and of what is described as organisational abuse. In order to see these patterns it is important that information is recorded and appropriately shared.</w:t>
      </w:r>
    </w:p>
    <w:p w14:paraId="6C21AE84"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Patterns of abuse vary and include:</w:t>
      </w:r>
    </w:p>
    <w:p w14:paraId="6330FB62" w14:textId="30B95439" w:rsidR="00AE4368" w:rsidRPr="006028AD" w:rsidRDefault="00AE4368" w:rsidP="006028AD">
      <w:pPr>
        <w:numPr>
          <w:ilvl w:val="0"/>
          <w:numId w:val="13"/>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serial abuse, in which the perpetrator seeks out and ‘grooms’ individuals. Sexual abuse sometimes falls into this pattern as do some forms of financial abuse</w:t>
      </w:r>
    </w:p>
    <w:p w14:paraId="6928BB23" w14:textId="05960465" w:rsidR="00AE4368" w:rsidRPr="006028AD" w:rsidRDefault="00AE4368" w:rsidP="006028AD">
      <w:pPr>
        <w:numPr>
          <w:ilvl w:val="0"/>
          <w:numId w:val="13"/>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long-term abuse, in the context of an ongoing family relationship such as domestic violence between spouses or generations or persistent psychological abuse</w:t>
      </w:r>
    </w:p>
    <w:p w14:paraId="5AA01411" w14:textId="4864BB85" w:rsidR="00AE4368" w:rsidRPr="006028AD" w:rsidRDefault="00AE4368" w:rsidP="006028AD">
      <w:pPr>
        <w:numPr>
          <w:ilvl w:val="0"/>
          <w:numId w:val="13"/>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opportunistic abuse, such as theft occurring because money or jewellery has been left lying around</w:t>
      </w:r>
    </w:p>
    <w:p w14:paraId="4A2EAEA9"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Domestic abuse</w:t>
      </w:r>
    </w:p>
    <w:p w14:paraId="7BEF651A" w14:textId="77777777" w:rsidR="00AE4368" w:rsidRPr="006028AD" w:rsidRDefault="00AE4368" w:rsidP="006028AD">
      <w:pPr>
        <w:shd w:val="clear" w:color="auto" w:fill="FFFFFF"/>
        <w:spacing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2A06A33D" w14:textId="77777777" w:rsidR="00AE4368" w:rsidRPr="006028AD" w:rsidRDefault="00AE4368" w:rsidP="006028AD">
      <w:pPr>
        <w:numPr>
          <w:ilvl w:val="0"/>
          <w:numId w:val="14"/>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psychological</w:t>
      </w:r>
    </w:p>
    <w:p w14:paraId="5BB11A53" w14:textId="77777777" w:rsidR="00AE4368" w:rsidRPr="006028AD" w:rsidRDefault="00AE4368" w:rsidP="006028AD">
      <w:pPr>
        <w:numPr>
          <w:ilvl w:val="0"/>
          <w:numId w:val="14"/>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sexual</w:t>
      </w:r>
    </w:p>
    <w:p w14:paraId="344BC0B6" w14:textId="77777777" w:rsidR="00AE4368" w:rsidRPr="006028AD" w:rsidRDefault="00AE4368" w:rsidP="006028AD">
      <w:pPr>
        <w:numPr>
          <w:ilvl w:val="0"/>
          <w:numId w:val="14"/>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financial</w:t>
      </w:r>
    </w:p>
    <w:p w14:paraId="592CE8CC" w14:textId="77777777" w:rsidR="00AE4368" w:rsidRPr="006028AD" w:rsidRDefault="00AE4368" w:rsidP="006028AD">
      <w:pPr>
        <w:numPr>
          <w:ilvl w:val="0"/>
          <w:numId w:val="14"/>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emotional</w:t>
      </w:r>
    </w:p>
    <w:p w14:paraId="2AEBBC6B"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lastRenderedPageBreak/>
        <w:t>A new offence of coercive and controlling behaviour in intimate and familial relationships was introduced into the Serious Crime Act 2015. The offence will impose a maximum 5 years imprisonment, a fine or both.</w:t>
      </w:r>
    </w:p>
    <w:p w14:paraId="30A81456"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offence closes a gap in the law around patterns of coercive and controlling behaviour during a relationship between intimate partners, former partners who still live together, or family members, sending a clear message that it is wrong to violate the trust of those closest to you, providing better protection to victims experiencing continuous abuse and allowing for earlier identification, intervention and prevention.</w:t>
      </w:r>
    </w:p>
    <w:p w14:paraId="3B20FB50" w14:textId="77777777" w:rsidR="00AE4368" w:rsidRPr="006028AD"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offence criminalising coercive or controlling behaviour was commenced on 29 December 2015. Read the </w:t>
      </w:r>
      <w:hyperlink r:id="rId12" w:history="1">
        <w:r w:rsidRPr="006028AD">
          <w:rPr>
            <w:rFonts w:asciiTheme="minorHAnsi" w:eastAsia="Times New Roman" w:hAnsiTheme="minorHAnsi" w:cstheme="minorHAnsi"/>
            <w:color w:val="4C2C92"/>
            <w:u w:val="single"/>
            <w:bdr w:val="none" w:sz="0" w:space="0" w:color="auto" w:frame="1"/>
            <w:lang w:eastAsia="en-GB"/>
          </w:rPr>
          <w:t>accompanying statutory guidance</w:t>
        </w:r>
      </w:hyperlink>
      <w:r w:rsidRPr="006028AD">
        <w:rPr>
          <w:rFonts w:asciiTheme="minorHAnsi" w:eastAsia="Times New Roman" w:hAnsiTheme="minorHAnsi" w:cstheme="minorHAnsi"/>
          <w:color w:val="0B0C0C"/>
          <w:lang w:eastAsia="en-GB"/>
        </w:rPr>
        <w:t> for further information.</w:t>
      </w:r>
    </w:p>
    <w:p w14:paraId="7B55FE41" w14:textId="77777777" w:rsidR="00AE4368" w:rsidRPr="006028AD" w:rsidRDefault="00AE4368" w:rsidP="006028AD">
      <w:pPr>
        <w:shd w:val="clear" w:color="auto" w:fill="FFFFFF"/>
        <w:spacing w:before="450" w:after="0" w:line="375" w:lineRule="atLeast"/>
        <w:jc w:val="both"/>
        <w:textAlignment w:val="baseline"/>
        <w:outlineLvl w:val="3"/>
        <w:rPr>
          <w:rFonts w:asciiTheme="minorHAnsi" w:eastAsia="Times New Roman" w:hAnsiTheme="minorHAnsi" w:cstheme="minorHAnsi"/>
          <w:b/>
          <w:bCs/>
          <w:color w:val="000000"/>
          <w:lang w:eastAsia="en-GB"/>
        </w:rPr>
      </w:pPr>
      <w:r w:rsidRPr="006028AD">
        <w:rPr>
          <w:rFonts w:asciiTheme="minorHAnsi" w:eastAsia="Times New Roman" w:hAnsiTheme="minorHAnsi" w:cstheme="minorHAnsi"/>
          <w:b/>
          <w:bCs/>
          <w:color w:val="000000"/>
          <w:lang w:eastAsia="en-GB"/>
        </w:rPr>
        <w:t>Financial abuse</w:t>
      </w:r>
    </w:p>
    <w:p w14:paraId="2D080DC8" w14:textId="77777777" w:rsidR="00AE4368" w:rsidRPr="006028AD" w:rsidRDefault="00AE4368" w:rsidP="006028AD">
      <w:pPr>
        <w:shd w:val="clear" w:color="auto" w:fill="FFFFFF"/>
        <w:spacing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Financial abuse is the main form of abuse investigated by the Office of the Public Guardian both amongst adults and children at risk. Financial recorded abuse can occur in isolation, but as research has shown, where there are other forms of abuse, there is likely to be financial abuse occurring. Although this is not always the case, everyone should also be aware of this possibility.</w:t>
      </w:r>
    </w:p>
    <w:p w14:paraId="29058966" w14:textId="77777777" w:rsidR="00AE4368" w:rsidRPr="006028AD"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Potential indicators of </w:t>
      </w:r>
      <w:hyperlink r:id="rId13" w:history="1">
        <w:r w:rsidRPr="006028AD">
          <w:rPr>
            <w:rFonts w:asciiTheme="minorHAnsi" w:eastAsia="Times New Roman" w:hAnsiTheme="minorHAnsi" w:cstheme="minorHAnsi"/>
            <w:color w:val="4C2C92"/>
            <w:u w:val="single"/>
            <w:bdr w:val="none" w:sz="0" w:space="0" w:color="auto" w:frame="1"/>
            <w:lang w:eastAsia="en-GB"/>
          </w:rPr>
          <w:t>financial abuse</w:t>
        </w:r>
      </w:hyperlink>
      <w:r w:rsidRPr="006028AD">
        <w:rPr>
          <w:rFonts w:asciiTheme="minorHAnsi" w:eastAsia="Times New Roman" w:hAnsiTheme="minorHAnsi" w:cstheme="minorHAnsi"/>
          <w:color w:val="0B0C0C"/>
          <w:lang w:eastAsia="en-GB"/>
        </w:rPr>
        <w:t> include:</w:t>
      </w:r>
    </w:p>
    <w:p w14:paraId="5474DC6E" w14:textId="77777777" w:rsidR="00AE4368" w:rsidRPr="006028AD" w:rsidRDefault="00AE4368" w:rsidP="006028AD">
      <w:pPr>
        <w:shd w:val="clear" w:color="auto" w:fill="FFFFFF"/>
        <w:spacing w:after="0" w:line="240" w:lineRule="auto"/>
        <w:jc w:val="both"/>
        <w:rPr>
          <w:rFonts w:asciiTheme="minorHAnsi" w:eastAsia="Times New Roman" w:hAnsiTheme="minorHAnsi" w:cstheme="minorHAnsi"/>
          <w:color w:val="0B0C0C"/>
          <w:lang w:eastAsia="en-GB"/>
        </w:rPr>
      </w:pPr>
    </w:p>
    <w:p w14:paraId="223941A7"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change in living conditions</w:t>
      </w:r>
    </w:p>
    <w:p w14:paraId="09986768"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lack of heating, clothing or food</w:t>
      </w:r>
    </w:p>
    <w:p w14:paraId="36C3BC0D"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inability to pay bills/unexplained shortage of money</w:t>
      </w:r>
    </w:p>
    <w:p w14:paraId="0E120C34"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unexplained withdrawals from an account</w:t>
      </w:r>
    </w:p>
    <w:p w14:paraId="656AD352"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unexplained loss/misplacement of financial documents</w:t>
      </w:r>
    </w:p>
    <w:p w14:paraId="4E39E5FA"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the recent addition of authorised signers on a client or donor’s signature card</w:t>
      </w:r>
    </w:p>
    <w:p w14:paraId="1E3884F5" w14:textId="77777777" w:rsidR="00AE4368" w:rsidRPr="006028AD" w:rsidRDefault="00AE4368" w:rsidP="006028AD">
      <w:pPr>
        <w:numPr>
          <w:ilvl w:val="0"/>
          <w:numId w:val="15"/>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sudden or unexpected changes in a will or other financial documents</w:t>
      </w:r>
    </w:p>
    <w:p w14:paraId="79517C5F" w14:textId="77777777" w:rsidR="00AE4368" w:rsidRPr="006028AD" w:rsidRDefault="00AE4368" w:rsidP="006028AD">
      <w:pPr>
        <w:shd w:val="clear" w:color="auto" w:fill="FFFFFF"/>
        <w:spacing w:after="0" w:line="240" w:lineRule="auto"/>
        <w:ind w:left="312"/>
        <w:jc w:val="both"/>
        <w:rPr>
          <w:rFonts w:asciiTheme="minorHAnsi" w:eastAsia="Times New Roman" w:hAnsiTheme="minorHAnsi" w:cstheme="minorHAnsi"/>
          <w:color w:val="0B0C0C"/>
          <w:lang w:eastAsia="en-GB"/>
        </w:rPr>
      </w:pPr>
    </w:p>
    <w:p w14:paraId="461D52C1" w14:textId="77777777" w:rsidR="00AE4368" w:rsidRPr="006028AD" w:rsidRDefault="00AE4368" w:rsidP="00EA0539">
      <w:pPr>
        <w:shd w:val="clear" w:color="auto" w:fill="FFFFFF"/>
        <w:spacing w:after="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This is not an exhaustive list, nor do these examples prove that there is actual abuse occurring. However, they do indicate that a closer look and possible investigation may be needed. Read report on </w:t>
      </w:r>
      <w:hyperlink r:id="rId14" w:history="1">
        <w:r w:rsidRPr="006028AD">
          <w:rPr>
            <w:rFonts w:asciiTheme="minorHAnsi" w:eastAsia="Times New Roman" w:hAnsiTheme="minorHAnsi" w:cstheme="minorHAnsi"/>
            <w:color w:val="4C2C92"/>
            <w:u w:val="single"/>
            <w:bdr w:val="none" w:sz="0" w:space="0" w:color="auto" w:frame="1"/>
            <w:lang w:eastAsia="en-GB"/>
          </w:rPr>
          <w:t>The Financial Abuse of Older People</w:t>
        </w:r>
      </w:hyperlink>
    </w:p>
    <w:p w14:paraId="6DFC94E5"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Internet scams, postal scams and doorstep crime are more often than not, targeted at adults at risk and all are forms of financial abuse. These scams are becoming ever more sophisticated and elaborate. For example:</w:t>
      </w:r>
    </w:p>
    <w:p w14:paraId="0DE90CC8" w14:textId="77777777" w:rsidR="00AE4368" w:rsidRPr="006028AD" w:rsidRDefault="00AE4368" w:rsidP="006028AD">
      <w:pPr>
        <w:numPr>
          <w:ilvl w:val="0"/>
          <w:numId w:val="1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internet scammers can build very convincing websites</w:t>
      </w:r>
    </w:p>
    <w:p w14:paraId="409C043C" w14:textId="77777777" w:rsidR="00AE4368" w:rsidRPr="006028AD" w:rsidRDefault="00AE4368" w:rsidP="006028AD">
      <w:pPr>
        <w:numPr>
          <w:ilvl w:val="0"/>
          <w:numId w:val="1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people can be referred to a website to check the caller’s legitimacy but this may be a copy of a legitimate website</w:t>
      </w:r>
    </w:p>
    <w:p w14:paraId="3C5B58C0" w14:textId="77777777" w:rsidR="00AE4368" w:rsidRPr="006028AD" w:rsidRDefault="00AE4368" w:rsidP="006028AD">
      <w:pPr>
        <w:numPr>
          <w:ilvl w:val="0"/>
          <w:numId w:val="1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postal scams are massed-produced letters which are made to look like personal letters or important documents</w:t>
      </w:r>
    </w:p>
    <w:p w14:paraId="17688742" w14:textId="77777777" w:rsidR="00AE4368" w:rsidRPr="006028AD" w:rsidRDefault="00AE4368" w:rsidP="006028AD">
      <w:pPr>
        <w:numPr>
          <w:ilvl w:val="0"/>
          <w:numId w:val="16"/>
        </w:numPr>
        <w:shd w:val="clear" w:color="auto" w:fill="FFFFFF"/>
        <w:spacing w:after="0" w:line="240" w:lineRule="auto"/>
        <w:ind w:left="312"/>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doorstep criminals call unannounced at the adult’s home under the guise of legitimate business and offering to fix an often non-existent problem with their property. sometimes they pose as police officers or someone in a position of authority</w:t>
      </w:r>
    </w:p>
    <w:p w14:paraId="2019A9B9" w14:textId="69EBAEAE"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lastRenderedPageBreak/>
        <w:t xml:space="preserve">In all cases this is financial abuse and the adult at risk can be persuaded to part with large sums of money and in some cases their life savings. These instances should always be reported to the local police service and local authority Trading Standards Services for investigation. </w:t>
      </w:r>
    </w:p>
    <w:p w14:paraId="1390E145" w14:textId="28E2C850"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 xml:space="preserve">These scams and crimes can seriously affect the health, including mental health, of an adult at risk. </w:t>
      </w:r>
    </w:p>
    <w:p w14:paraId="381EDD59"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Where the abuse is perpetrated by someone who has the authority to manage an adult’s money, the relevant body should be informed - for example, the Office of the Public Guardian for deputies or attorneys and Department for Work and Pensions (DWP) in relation to appointees.</w:t>
      </w:r>
    </w:p>
    <w:p w14:paraId="131E6B8A" w14:textId="77777777" w:rsidR="00AE4368" w:rsidRPr="006028AD" w:rsidRDefault="00AE4368" w:rsidP="006028AD">
      <w:pPr>
        <w:shd w:val="clear" w:color="auto" w:fill="FFFFFF"/>
        <w:spacing w:before="300" w:after="300" w:line="240" w:lineRule="auto"/>
        <w:jc w:val="both"/>
        <w:rPr>
          <w:rFonts w:asciiTheme="minorHAnsi" w:eastAsia="Times New Roman" w:hAnsiTheme="minorHAnsi" w:cstheme="minorHAnsi"/>
          <w:color w:val="0B0C0C"/>
          <w:lang w:eastAsia="en-GB"/>
        </w:rPr>
      </w:pPr>
      <w:r w:rsidRPr="006028AD">
        <w:rPr>
          <w:rFonts w:asciiTheme="minorHAnsi" w:eastAsia="Times New Roman" w:hAnsiTheme="minorHAnsi" w:cstheme="minorHAnsi"/>
          <w:color w:val="0B0C0C"/>
          <w:lang w:eastAsia="en-GB"/>
        </w:rPr>
        <w:t>If anyone has concerns that a DWP appointee is acting incorrectly, they should contact the DWP immediately. Note that the DWP can get things done more quickly if it also has a National Insurance number in addition to a name and address. However, people should not delay acting because they do not know an adult’s National Insurance number. The important thing is to alert DWP to their concerns. If DWP knows that the person is also known to the local authority, then it should also inform the relevant authority.</w:t>
      </w:r>
    </w:p>
    <w:p w14:paraId="11103632" w14:textId="77777777" w:rsidR="00AE4368" w:rsidRPr="006028AD" w:rsidRDefault="00AE4368" w:rsidP="006028AD">
      <w:pPr>
        <w:shd w:val="clear" w:color="auto" w:fill="FFFFFF"/>
        <w:spacing w:after="0" w:line="240" w:lineRule="auto"/>
        <w:jc w:val="both"/>
        <w:rPr>
          <w:rFonts w:asciiTheme="minorHAnsi" w:hAnsiTheme="minorHAnsi" w:cstheme="minorHAnsi"/>
          <w:color w:val="0B0C0C"/>
          <w:shd w:val="clear" w:color="auto" w:fill="FFFFFF"/>
        </w:rPr>
      </w:pPr>
      <w:r w:rsidRPr="006028AD">
        <w:rPr>
          <w:rFonts w:asciiTheme="minorHAnsi" w:hAnsiTheme="minorHAnsi" w:cstheme="minorHAnsi"/>
          <w:color w:val="0B0C0C"/>
          <w:u w:val="single"/>
          <w:shd w:val="clear" w:color="auto" w:fill="FFFFFF"/>
        </w:rPr>
        <w:t>Abuse by an attorney or deputy</w:t>
      </w:r>
    </w:p>
    <w:p w14:paraId="35FBE452" w14:textId="77777777" w:rsidR="00AE4368" w:rsidRPr="006028AD" w:rsidRDefault="00AE4368" w:rsidP="006028AD">
      <w:pPr>
        <w:shd w:val="clear" w:color="auto" w:fill="FFFFFF"/>
        <w:spacing w:before="100" w:beforeAutospacing="1" w:after="100" w:afterAutospacing="1" w:line="240" w:lineRule="auto"/>
        <w:jc w:val="both"/>
        <w:outlineLvl w:val="2"/>
        <w:rPr>
          <w:rFonts w:asciiTheme="minorHAnsi" w:hAnsiTheme="minorHAnsi" w:cstheme="minorHAnsi"/>
          <w:color w:val="0B0C0C"/>
          <w:shd w:val="clear" w:color="auto" w:fill="FFFFFF"/>
        </w:rPr>
      </w:pPr>
      <w:r w:rsidRPr="006028AD">
        <w:rPr>
          <w:rFonts w:asciiTheme="minorHAnsi" w:hAnsiTheme="minorHAnsi" w:cstheme="minorHAnsi"/>
          <w:color w:val="0B0C0C"/>
          <w:shd w:val="clear" w:color="auto" w:fill="FFFFFF"/>
        </w:rPr>
        <w:t>If someone has concerns about the actions of an attorney acting under a registered enduring power of attorney (</w:t>
      </w:r>
      <w:r w:rsidRPr="006028AD">
        <w:rPr>
          <w:rFonts w:asciiTheme="minorHAnsi" w:hAnsiTheme="minorHAnsi" w:cstheme="minorHAnsi"/>
        </w:rPr>
        <w:t>EPA</w:t>
      </w:r>
      <w:r w:rsidRPr="006028AD">
        <w:rPr>
          <w:rFonts w:asciiTheme="minorHAnsi" w:hAnsiTheme="minorHAnsi" w:cstheme="minorHAnsi"/>
          <w:color w:val="0B0C0C"/>
          <w:shd w:val="clear" w:color="auto" w:fill="FFFFFF"/>
        </w:rPr>
        <w:t>) or lasting power of attorney (</w:t>
      </w:r>
      <w:r w:rsidRPr="006028AD">
        <w:rPr>
          <w:rFonts w:asciiTheme="minorHAnsi" w:hAnsiTheme="minorHAnsi" w:cstheme="minorHAnsi"/>
        </w:rPr>
        <w:t>LPA</w:t>
      </w:r>
      <w:r w:rsidRPr="006028AD">
        <w:rPr>
          <w:rFonts w:asciiTheme="minorHAnsi" w:hAnsiTheme="minorHAnsi" w:cstheme="minorHAnsi"/>
          <w:color w:val="0B0C0C"/>
          <w:shd w:val="clear" w:color="auto" w:fill="FFFFFF"/>
        </w:rPr>
        <w:t>), or a deputy appointed by the Court of Protection, they should contact the Office of the Public Guardian (</w:t>
      </w:r>
      <w:r w:rsidRPr="006028AD">
        <w:rPr>
          <w:rFonts w:asciiTheme="minorHAnsi" w:hAnsiTheme="minorHAnsi" w:cstheme="minorHAnsi"/>
        </w:rPr>
        <w:t>OPG</w:t>
      </w:r>
      <w:r w:rsidRPr="006028AD">
        <w:rPr>
          <w:rFonts w:asciiTheme="minorHAnsi" w:hAnsiTheme="minorHAnsi" w:cstheme="minorHAnsi"/>
          <w:color w:val="0B0C0C"/>
          <w:shd w:val="clear" w:color="auto" w:fill="FFFFFF"/>
        </w:rPr>
        <w:t>). The</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OPG</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can investigate the actions of a Deputy or Attorney and can also refer concerns to other relevant agencies. When it makes a referral, the</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OPG</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will make sure that the relevant agency keeps it informed of the action it takes. The</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OPG</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can also make an application to the Court of Protection if it needs to take possible action against the attorney or deputy. Whilst the</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OPG</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primarily investigates financial abuse, it is important to note that that it also has a duty to investigate concerns about the actions of an attorney acting under a health and welfare Lasting Power of Attorney or a personal welfare deputy. The</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OPG</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can investigate concerns about an attorney acting under a registered</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EPA</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or</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LPA</w:t>
      </w:r>
      <w:r w:rsidRPr="006028AD">
        <w:rPr>
          <w:rFonts w:asciiTheme="minorHAnsi" w:hAnsiTheme="minorHAnsi" w:cstheme="minorHAnsi"/>
          <w:color w:val="0B0C0C"/>
          <w:shd w:val="clear" w:color="auto" w:fill="FFFFFF"/>
        </w:rPr>
        <w:t>, regardless of the adult’s capacity to make decisions. Read about the role and powers of the</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rPr>
        <w:t>OPG</w:t>
      </w:r>
      <w:r w:rsidRPr="006028AD">
        <w:rPr>
          <w:rStyle w:val="apple-converted-space"/>
          <w:rFonts w:asciiTheme="minorHAnsi" w:hAnsiTheme="minorHAnsi" w:cstheme="minorHAnsi"/>
          <w:color w:val="0B0C0C"/>
          <w:shd w:val="clear" w:color="auto" w:fill="FFFFFF"/>
        </w:rPr>
        <w:t> </w:t>
      </w:r>
      <w:r w:rsidRPr="006028AD">
        <w:rPr>
          <w:rFonts w:asciiTheme="minorHAnsi" w:hAnsiTheme="minorHAnsi" w:cstheme="minorHAnsi"/>
          <w:color w:val="0B0C0C"/>
          <w:shd w:val="clear" w:color="auto" w:fill="FFFFFF"/>
        </w:rPr>
        <w:t>and its policy in relation to adult safeguarding.</w:t>
      </w:r>
    </w:p>
    <w:p w14:paraId="1B72F48F" w14:textId="3C0F1CB7" w:rsidR="00AE4368" w:rsidRPr="006028AD" w:rsidRDefault="00AE4368" w:rsidP="006028AD">
      <w:pPr>
        <w:shd w:val="clear" w:color="auto" w:fill="FFFFFF"/>
        <w:spacing w:before="100" w:beforeAutospacing="1" w:after="100" w:afterAutospacing="1" w:line="240" w:lineRule="auto"/>
        <w:jc w:val="both"/>
        <w:outlineLvl w:val="2"/>
        <w:rPr>
          <w:rFonts w:asciiTheme="minorHAnsi" w:hAnsiTheme="minorHAnsi" w:cstheme="minorHAnsi"/>
        </w:rPr>
      </w:pPr>
      <w:r w:rsidRPr="006028AD">
        <w:rPr>
          <w:rFonts w:asciiTheme="minorHAnsi" w:hAnsiTheme="minorHAnsi" w:cstheme="minorHAnsi"/>
          <w:color w:val="0B0C0C"/>
          <w:shd w:val="clear" w:color="auto" w:fill="FFFFFF"/>
        </w:rPr>
        <w:t xml:space="preserve">Source: </w:t>
      </w:r>
      <w:r w:rsidRPr="006028AD">
        <w:rPr>
          <w:rFonts w:asciiTheme="minorHAnsi" w:eastAsia="Times New Roman" w:hAnsiTheme="minorHAnsi" w:cstheme="minorHAnsi"/>
          <w:color w:val="0B0C0C"/>
          <w:lang w:eastAsia="en-GB"/>
        </w:rPr>
        <w:t>Care and support statutory</w:t>
      </w:r>
      <w:r w:rsidR="00CE6C3C">
        <w:rPr>
          <w:rFonts w:asciiTheme="minorHAnsi" w:eastAsia="Times New Roman" w:hAnsiTheme="minorHAnsi" w:cstheme="minorHAnsi"/>
          <w:color w:val="0B0C0C"/>
          <w:lang w:eastAsia="en-GB"/>
        </w:rPr>
        <w:t xml:space="preserve"> guidance (DOH</w:t>
      </w:r>
      <w:r w:rsidRPr="006028AD">
        <w:rPr>
          <w:rFonts w:asciiTheme="minorHAnsi" w:eastAsia="Times New Roman" w:hAnsiTheme="minorHAnsi" w:cstheme="minorHAnsi"/>
          <w:color w:val="0B0C0C"/>
          <w:lang w:eastAsia="en-GB"/>
        </w:rPr>
        <w:t>2</w:t>
      </w:r>
      <w:r w:rsidR="00CE6C3C">
        <w:rPr>
          <w:rFonts w:asciiTheme="minorHAnsi" w:eastAsia="Times New Roman" w:hAnsiTheme="minorHAnsi" w:cstheme="minorHAnsi"/>
          <w:color w:val="0B0C0C"/>
          <w:lang w:eastAsia="en-GB"/>
        </w:rPr>
        <w:t xml:space="preserve"> 2</w:t>
      </w:r>
      <w:r w:rsidRPr="006028AD">
        <w:rPr>
          <w:rFonts w:asciiTheme="minorHAnsi" w:eastAsia="Times New Roman" w:hAnsiTheme="minorHAnsi" w:cstheme="minorHAnsi"/>
          <w:color w:val="0B0C0C"/>
          <w:lang w:eastAsia="en-GB"/>
        </w:rPr>
        <w:t>016</w:t>
      </w:r>
      <w:r w:rsidR="00CE6C3C">
        <w:rPr>
          <w:rFonts w:asciiTheme="minorHAnsi" w:eastAsia="Times New Roman" w:hAnsiTheme="minorHAnsi" w:cstheme="minorHAnsi"/>
          <w:color w:val="0B0C0C"/>
          <w:lang w:eastAsia="en-GB"/>
        </w:rPr>
        <w:t>, as updated</w:t>
      </w:r>
      <w:r w:rsidRPr="006028AD">
        <w:rPr>
          <w:rFonts w:asciiTheme="minorHAnsi" w:eastAsia="Times New Roman" w:hAnsiTheme="minorHAnsi" w:cstheme="minorHAnsi"/>
          <w:color w:val="0B0C0C"/>
          <w:lang w:eastAsia="en-GB"/>
        </w:rPr>
        <w:t>)</w:t>
      </w:r>
    </w:p>
    <w:p w14:paraId="6ADF47BE" w14:textId="1EAC0FEE" w:rsidR="00161970" w:rsidRPr="006028AD" w:rsidRDefault="00161970" w:rsidP="006028AD">
      <w:pPr>
        <w:jc w:val="both"/>
        <w:rPr>
          <w:rFonts w:asciiTheme="minorHAnsi" w:hAnsiTheme="minorHAnsi" w:cstheme="minorHAnsi"/>
        </w:rPr>
      </w:pPr>
    </w:p>
    <w:sectPr w:rsidR="00161970" w:rsidRPr="006028A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073B" w14:textId="77777777" w:rsidR="00EC1F67" w:rsidRDefault="00EC1F67" w:rsidP="00EC1F67">
      <w:pPr>
        <w:spacing w:after="0" w:line="240" w:lineRule="auto"/>
      </w:pPr>
      <w:r>
        <w:separator/>
      </w:r>
    </w:p>
  </w:endnote>
  <w:endnote w:type="continuationSeparator" w:id="0">
    <w:p w14:paraId="27089EBD" w14:textId="77777777" w:rsidR="00EC1F67" w:rsidRDefault="00EC1F67" w:rsidP="00EC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7CD76026" w:rsidR="00DE5DD0" w:rsidRPr="00DE5DD0" w:rsidRDefault="00016B9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761563">
              <w:rPr>
                <w:b/>
                <w:bCs/>
                <w:noProof/>
                <w:sz w:val="20"/>
                <w:szCs w:val="20"/>
              </w:rPr>
              <w:t>2</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761563">
              <w:rPr>
                <w:b/>
                <w:bCs/>
                <w:noProof/>
                <w:sz w:val="20"/>
                <w:szCs w:val="20"/>
              </w:rPr>
              <w:t>5</w:t>
            </w:r>
            <w:r w:rsidRPr="00DE5DD0">
              <w:rPr>
                <w:b/>
                <w:bCs/>
                <w:sz w:val="20"/>
                <w:szCs w:val="20"/>
              </w:rPr>
              <w:fldChar w:fldCharType="end"/>
            </w:r>
          </w:p>
          <w:p w14:paraId="0CBFB923" w14:textId="77777777" w:rsidR="00ED274D" w:rsidRDefault="00ED274D" w:rsidP="00DE5DD0">
            <w:pPr>
              <w:pStyle w:val="Footer"/>
              <w:rPr>
                <w:bCs/>
                <w:sz w:val="20"/>
                <w:szCs w:val="20"/>
              </w:rPr>
            </w:pPr>
            <w:r>
              <w:rPr>
                <w:bCs/>
                <w:sz w:val="20"/>
                <w:szCs w:val="20"/>
              </w:rPr>
              <w:t xml:space="preserve">01 </w:t>
            </w:r>
            <w:r w:rsidR="00DE5DD0" w:rsidRPr="00DE5DD0">
              <w:rPr>
                <w:bCs/>
                <w:sz w:val="20"/>
                <w:szCs w:val="20"/>
              </w:rPr>
              <w:t>July 2021</w:t>
            </w:r>
          </w:p>
          <w:p w14:paraId="12A31B35" w14:textId="690278DC" w:rsidR="00016B98" w:rsidRPr="00DE5DD0" w:rsidRDefault="00ED274D" w:rsidP="00DE5DD0">
            <w:pPr>
              <w:pStyle w:val="Footer"/>
              <w:rPr>
                <w:sz w:val="20"/>
                <w:szCs w:val="20"/>
              </w:rPr>
            </w:pPr>
            <w:r>
              <w:rPr>
                <w:bCs/>
                <w:sz w:val="20"/>
                <w:szCs w:val="20"/>
              </w:rPr>
              <w:t xml:space="preserve">Review: </w:t>
            </w:r>
            <w:r w:rsidR="00063A78">
              <w:rPr>
                <w:bCs/>
                <w:sz w:val="20"/>
                <w:szCs w:val="20"/>
              </w:rPr>
              <w:t>July 2023</w:t>
            </w:r>
          </w:p>
        </w:sdtContent>
      </w:sdt>
    </w:sdtContent>
  </w:sdt>
  <w:p w14:paraId="571EDF1B" w14:textId="79A6E4C4" w:rsidR="00664045" w:rsidRDefault="0066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BBD6" w14:textId="77777777" w:rsidR="00EC1F67" w:rsidRDefault="00EC1F67" w:rsidP="00EC1F67">
      <w:pPr>
        <w:spacing w:after="0" w:line="240" w:lineRule="auto"/>
      </w:pPr>
      <w:r>
        <w:separator/>
      </w:r>
    </w:p>
  </w:footnote>
  <w:footnote w:type="continuationSeparator" w:id="0">
    <w:p w14:paraId="26FC4A72" w14:textId="77777777" w:rsidR="00EC1F67" w:rsidRDefault="00EC1F67" w:rsidP="00EC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DE1F0" w14:textId="46257BDE" w:rsidR="00EC1F67" w:rsidRDefault="00EC1F67">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EC1F67" w:rsidRDefault="00EC1F67">
    <w:pPr>
      <w:pStyle w:val="Header"/>
    </w:pPr>
  </w:p>
  <w:p w14:paraId="78BD3005" w14:textId="77777777" w:rsidR="00EC1F67" w:rsidRDefault="00EC1F67">
    <w:pPr>
      <w:pStyle w:val="Header"/>
    </w:pPr>
  </w:p>
  <w:p w14:paraId="414DAFBC" w14:textId="77777777" w:rsidR="00EC1F67" w:rsidRDefault="00EC1F67">
    <w:pPr>
      <w:pStyle w:val="Header"/>
    </w:pPr>
  </w:p>
  <w:p w14:paraId="4167C161" w14:textId="77777777" w:rsidR="00EC1F67" w:rsidRDefault="00EC1F67">
    <w:pPr>
      <w:pStyle w:val="Header"/>
    </w:pPr>
  </w:p>
  <w:p w14:paraId="75B14791" w14:textId="77777777" w:rsidR="00EC1F67" w:rsidRDefault="00EC1F67">
    <w:pPr>
      <w:pStyle w:val="Header"/>
    </w:pPr>
  </w:p>
  <w:p w14:paraId="2B68869C" w14:textId="2464B2A0" w:rsidR="00EC1F67" w:rsidRDefault="00EC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B1F"/>
    <w:multiLevelType w:val="multilevel"/>
    <w:tmpl w:val="C038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3" w15:restartNumberingAfterBreak="0">
    <w:nsid w:val="0FDF1F23"/>
    <w:multiLevelType w:val="multilevel"/>
    <w:tmpl w:val="656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76DCD"/>
    <w:multiLevelType w:val="multilevel"/>
    <w:tmpl w:val="427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254E0"/>
    <w:multiLevelType w:val="multilevel"/>
    <w:tmpl w:val="DCD0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07F52"/>
    <w:multiLevelType w:val="multilevel"/>
    <w:tmpl w:val="73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C760F5"/>
    <w:multiLevelType w:val="multilevel"/>
    <w:tmpl w:val="CD085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C053AE"/>
    <w:multiLevelType w:val="multilevel"/>
    <w:tmpl w:val="17D2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216567C"/>
    <w:multiLevelType w:val="multilevel"/>
    <w:tmpl w:val="4D4A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17332C"/>
    <w:multiLevelType w:val="multilevel"/>
    <w:tmpl w:val="D77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91F82"/>
    <w:multiLevelType w:val="multilevel"/>
    <w:tmpl w:val="FF9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1325AB"/>
    <w:multiLevelType w:val="multilevel"/>
    <w:tmpl w:val="BAB6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4C7CC8"/>
    <w:multiLevelType w:val="multilevel"/>
    <w:tmpl w:val="B07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537A0E"/>
    <w:multiLevelType w:val="hybridMultilevel"/>
    <w:tmpl w:val="89529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6"/>
  </w:num>
  <w:num w:numId="4">
    <w:abstractNumId w:val="1"/>
  </w:num>
  <w:num w:numId="5">
    <w:abstractNumId w:val="3"/>
  </w:num>
  <w:num w:numId="6">
    <w:abstractNumId w:val="6"/>
  </w:num>
  <w:num w:numId="7">
    <w:abstractNumId w:val="12"/>
  </w:num>
  <w:num w:numId="8">
    <w:abstractNumId w:val="11"/>
  </w:num>
  <w:num w:numId="9">
    <w:abstractNumId w:val="5"/>
  </w:num>
  <w:num w:numId="10">
    <w:abstractNumId w:val="0"/>
  </w:num>
  <w:num w:numId="11">
    <w:abstractNumId w:val="7"/>
  </w:num>
  <w:num w:numId="12">
    <w:abstractNumId w:val="13"/>
  </w:num>
  <w:num w:numId="13">
    <w:abstractNumId w:val="4"/>
  </w:num>
  <w:num w:numId="14">
    <w:abstractNumId w:val="8"/>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70"/>
    <w:rsid w:val="00016B98"/>
    <w:rsid w:val="00063A78"/>
    <w:rsid w:val="000B568F"/>
    <w:rsid w:val="000E4B7F"/>
    <w:rsid w:val="00161970"/>
    <w:rsid w:val="002B33EE"/>
    <w:rsid w:val="002F2D5E"/>
    <w:rsid w:val="002F5424"/>
    <w:rsid w:val="00306CF6"/>
    <w:rsid w:val="00307B65"/>
    <w:rsid w:val="00515116"/>
    <w:rsid w:val="00557C0C"/>
    <w:rsid w:val="006028AD"/>
    <w:rsid w:val="00664045"/>
    <w:rsid w:val="00761563"/>
    <w:rsid w:val="00844B61"/>
    <w:rsid w:val="008A4332"/>
    <w:rsid w:val="00933C59"/>
    <w:rsid w:val="00984EEF"/>
    <w:rsid w:val="009B475A"/>
    <w:rsid w:val="009E348E"/>
    <w:rsid w:val="00A973E2"/>
    <w:rsid w:val="00AA3C2A"/>
    <w:rsid w:val="00AE4368"/>
    <w:rsid w:val="00B60FAC"/>
    <w:rsid w:val="00C011CE"/>
    <w:rsid w:val="00CE6C3C"/>
    <w:rsid w:val="00D15FFA"/>
    <w:rsid w:val="00D4171F"/>
    <w:rsid w:val="00DE5DD0"/>
    <w:rsid w:val="00EA0539"/>
    <w:rsid w:val="00EC1F67"/>
    <w:rsid w:val="00ED274D"/>
    <w:rsid w:val="00F35229"/>
    <w:rsid w:val="00FF1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956EBB"/>
  <w15:chartTrackingRefBased/>
  <w15:docId w15:val="{5881AA82-7039-4404-AA85-1726ED11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1"/>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character" w:customStyle="1" w:styleId="apple-converted-space">
    <w:name w:val="apple-converted-space"/>
    <w:basedOn w:val="DefaultParagraphFont"/>
    <w:rsid w:val="00AE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pa.org.uk/information/reviews/financialabuse240408%5B1%5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tatutory-guidance-framework-controlling-or-coercive-behaviour-in-an-intimate-or-family-relation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iscrimination-your-rights/types-of-discrimin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uploads/system/uploads/attachment_data/file/328096/Modern_slavery_booklet_v12_WEB__2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pa.org.uk/information/reviews/financialabuse240408%5B1%5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623CBCD770E469C08C3FE4196A6ED" ma:contentTypeVersion="7" ma:contentTypeDescription="Create a new document." ma:contentTypeScope="" ma:versionID="e9f3bd206c01634807212dd1c628461d">
  <xsd:schema xmlns:xsd="http://www.w3.org/2001/XMLSchema" xmlns:xs="http://www.w3.org/2001/XMLSchema" xmlns:p="http://schemas.microsoft.com/office/2006/metadata/properties" xmlns:ns2="72ab2ac5-745a-49be-b57a-cad5603b0d51" targetNamespace="http://schemas.microsoft.com/office/2006/metadata/properties" ma:root="true" ma:fieldsID="393133378edd313e679dea050cd2db47" ns2:_="">
    <xsd:import namespace="72ab2ac5-745a-49be-b57a-cad5603b0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b2ac5-745a-49be-b57a-cad5603b0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EDC66-605D-46D4-B4C0-52A057FE628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72ab2ac5-745a-49be-b57a-cad5603b0d5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2EF38DE-AED2-459D-AA9E-1B909690CB4D}">
  <ds:schemaRefs>
    <ds:schemaRef ds:uri="http://schemas.microsoft.com/sharepoint/v3/contenttype/forms"/>
  </ds:schemaRefs>
</ds:datastoreItem>
</file>

<file path=customXml/itemProps3.xml><?xml version="1.0" encoding="utf-8"?>
<ds:datastoreItem xmlns:ds="http://schemas.openxmlformats.org/officeDocument/2006/customXml" ds:itemID="{B82D7E59-2593-4F8C-AB7F-B07D8BA0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b2ac5-745a-49be-b57a-cad5603b0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Johanna Peluso</cp:lastModifiedBy>
  <cp:revision>2</cp:revision>
  <dcterms:created xsi:type="dcterms:W3CDTF">2022-03-24T14:08:00Z</dcterms:created>
  <dcterms:modified xsi:type="dcterms:W3CDTF">2022-03-24T14:08:00Z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0x010100675623CBCD770E469C08C3FE4196A6ED</vt:lpwstr>
  </property>
</Properties>
</file>